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2D915" w14:textId="77777777" w:rsidR="00600593" w:rsidRDefault="003B7A3F" w:rsidP="00600593">
      <w:pPr>
        <w:pStyle w:val="Heading1"/>
        <w:spacing w:before="720"/>
        <w:rPr>
          <w:color w:val="00A1DE" w:themeColor="background2"/>
          <w:sz w:val="48"/>
          <w:szCs w:val="48"/>
        </w:rPr>
      </w:pPr>
      <w:bookmarkStart w:id="0" w:name="CoverTOC"/>
      <w:bookmarkStart w:id="1" w:name="_Toc479691425"/>
      <w:r w:rsidRPr="003B7A3F">
        <w:rPr>
          <w:color w:val="00A1DE" w:themeColor="background2"/>
          <w:sz w:val="48"/>
          <w:szCs w:val="48"/>
        </w:rPr>
        <w:t>Role Description</w:t>
      </w:r>
    </w:p>
    <w:p w14:paraId="031EAA36" w14:textId="4C64D3A5" w:rsidR="00A7453C" w:rsidRDefault="007003DE" w:rsidP="00600593">
      <w:pPr>
        <w:pStyle w:val="Heading1"/>
        <w:spacing w:before="240"/>
        <w:rPr>
          <w:color w:val="003591" w:themeColor="text2"/>
          <w:sz w:val="36"/>
          <w:szCs w:val="36"/>
          <w:lang w:val="en-AU"/>
        </w:rPr>
      </w:pPr>
      <w:r>
        <w:rPr>
          <w:color w:val="003591" w:themeColor="text2"/>
          <w:sz w:val="36"/>
          <w:szCs w:val="36"/>
          <w:lang w:val="en-AU"/>
        </w:rPr>
        <w:t>Staff Specialist</w:t>
      </w:r>
      <w:r w:rsidR="005811D1">
        <w:rPr>
          <w:color w:val="003591" w:themeColor="text2"/>
          <w:sz w:val="36"/>
          <w:szCs w:val="36"/>
          <w:lang w:val="en-AU"/>
        </w:rPr>
        <w:t xml:space="preserve"> </w:t>
      </w:r>
      <w:r>
        <w:rPr>
          <w:color w:val="003591" w:themeColor="text2"/>
          <w:sz w:val="36"/>
          <w:szCs w:val="36"/>
          <w:lang w:val="en-AU"/>
        </w:rPr>
        <w:t>Paediatric</w:t>
      </w:r>
      <w:r w:rsidR="00213EA7">
        <w:rPr>
          <w:color w:val="003591" w:themeColor="text2"/>
          <w:sz w:val="36"/>
          <w:szCs w:val="36"/>
          <w:lang w:val="en-AU"/>
        </w:rPr>
        <w:t xml:space="preserve"> Endocrinology</w:t>
      </w:r>
    </w:p>
    <w:tbl>
      <w:tblPr>
        <w:tblStyle w:val="TableGrid"/>
        <w:tblW w:w="10485" w:type="dxa"/>
        <w:tblInd w:w="5" w:type="dxa"/>
        <w:tblLook w:val="04A0" w:firstRow="1" w:lastRow="0" w:firstColumn="1" w:lastColumn="0" w:noHBand="0" w:noVBand="1"/>
      </w:tblPr>
      <w:tblGrid>
        <w:gridCol w:w="1696"/>
        <w:gridCol w:w="3261"/>
        <w:gridCol w:w="2127"/>
        <w:gridCol w:w="3401"/>
      </w:tblGrid>
      <w:tr w:rsidR="009E2F07" w14:paraId="03A73D40" w14:textId="77777777" w:rsidTr="00D04923">
        <w:trPr>
          <w:trHeight w:val="486"/>
        </w:trPr>
        <w:tc>
          <w:tcPr>
            <w:tcW w:w="1696" w:type="dxa"/>
          </w:tcPr>
          <w:p w14:paraId="4A749A34" w14:textId="77777777" w:rsidR="009E2F07" w:rsidRPr="00026DE9" w:rsidRDefault="009E2F07" w:rsidP="00D04923">
            <w:pPr>
              <w:pStyle w:val="BodyText"/>
              <w:spacing w:line="240" w:lineRule="auto"/>
              <w:rPr>
                <w:b/>
                <w:color w:val="003591" w:themeColor="text2"/>
                <w:lang w:val="en-US"/>
              </w:rPr>
            </w:pPr>
            <w:r w:rsidRPr="00026DE9">
              <w:rPr>
                <w:b/>
                <w:color w:val="003591" w:themeColor="text2"/>
                <w:lang w:val="en-US"/>
              </w:rPr>
              <w:t>Reference:</w:t>
            </w:r>
          </w:p>
        </w:tc>
        <w:tc>
          <w:tcPr>
            <w:tcW w:w="3261" w:type="dxa"/>
          </w:tcPr>
          <w:p w14:paraId="764CACC2" w14:textId="3797B4B8" w:rsidR="009E2F07" w:rsidRPr="009E2F07" w:rsidRDefault="007003DE" w:rsidP="00D04923">
            <w:pPr>
              <w:pStyle w:val="BodyText"/>
              <w:spacing w:line="240" w:lineRule="auto"/>
              <w:ind w:right="144"/>
              <w:rPr>
                <w:color w:val="auto"/>
                <w:lang w:val="en-US"/>
              </w:rPr>
            </w:pPr>
            <w:r>
              <w:rPr>
                <w:color w:val="auto"/>
              </w:rPr>
              <w:t>TV</w:t>
            </w:r>
            <w:r w:rsidR="00311D2A">
              <w:rPr>
                <w:color w:val="auto"/>
              </w:rPr>
              <w:t>662530</w:t>
            </w:r>
          </w:p>
        </w:tc>
        <w:tc>
          <w:tcPr>
            <w:tcW w:w="2127" w:type="dxa"/>
          </w:tcPr>
          <w:p w14:paraId="768C8695" w14:textId="77777777" w:rsidR="009E2F07" w:rsidRPr="00026DE9" w:rsidRDefault="009E2F07" w:rsidP="00D04923">
            <w:pPr>
              <w:pStyle w:val="BodyText"/>
              <w:spacing w:line="240" w:lineRule="auto"/>
              <w:rPr>
                <w:b/>
                <w:color w:val="003591" w:themeColor="text2"/>
                <w:lang w:val="en-US"/>
              </w:rPr>
            </w:pPr>
            <w:r>
              <w:rPr>
                <w:b/>
                <w:color w:val="003591" w:themeColor="text2"/>
                <w:lang w:val="en-US"/>
              </w:rPr>
              <w:t>Position ID:</w:t>
            </w:r>
          </w:p>
        </w:tc>
        <w:tc>
          <w:tcPr>
            <w:tcW w:w="3401" w:type="dxa"/>
          </w:tcPr>
          <w:p w14:paraId="081408EE" w14:textId="26F3682F" w:rsidR="009E2F07" w:rsidRPr="009E2F07" w:rsidRDefault="007003DE" w:rsidP="00D04923">
            <w:pPr>
              <w:pStyle w:val="BodyText"/>
              <w:spacing w:line="240" w:lineRule="auto"/>
              <w:rPr>
                <w:color w:val="auto"/>
              </w:rPr>
            </w:pPr>
            <w:r>
              <w:rPr>
                <w:color w:val="auto"/>
              </w:rPr>
              <w:t>3202303</w:t>
            </w:r>
            <w:r w:rsidR="00311D2A">
              <w:rPr>
                <w:color w:val="auto"/>
              </w:rPr>
              <w:t>6</w:t>
            </w:r>
          </w:p>
        </w:tc>
      </w:tr>
      <w:tr w:rsidR="009E2F07" w14:paraId="415DA31F" w14:textId="77777777" w:rsidTr="00D04923">
        <w:trPr>
          <w:trHeight w:val="471"/>
        </w:trPr>
        <w:tc>
          <w:tcPr>
            <w:tcW w:w="1696" w:type="dxa"/>
          </w:tcPr>
          <w:p w14:paraId="41E568DD" w14:textId="77777777" w:rsidR="009E2F07" w:rsidRPr="00026DE9" w:rsidRDefault="009E2F07" w:rsidP="00D04923">
            <w:pPr>
              <w:pStyle w:val="BodyText"/>
              <w:spacing w:line="240" w:lineRule="auto"/>
              <w:rPr>
                <w:b/>
                <w:color w:val="003591" w:themeColor="text2"/>
                <w:lang w:val="en-US"/>
              </w:rPr>
            </w:pPr>
            <w:r w:rsidRPr="00026DE9">
              <w:rPr>
                <w:b/>
                <w:color w:val="003591" w:themeColor="text2"/>
                <w:lang w:val="en-US"/>
              </w:rPr>
              <w:t>Role title:</w:t>
            </w:r>
          </w:p>
        </w:tc>
        <w:tc>
          <w:tcPr>
            <w:tcW w:w="3261" w:type="dxa"/>
          </w:tcPr>
          <w:p w14:paraId="18F4AAFF" w14:textId="03D9D1A6" w:rsidR="009E2F07" w:rsidRPr="009E2F07" w:rsidRDefault="007003DE" w:rsidP="00D04923">
            <w:pPr>
              <w:pStyle w:val="BodyText"/>
              <w:spacing w:line="240" w:lineRule="auto"/>
              <w:ind w:right="144"/>
              <w:rPr>
                <w:color w:val="auto"/>
                <w:lang w:val="en-US"/>
              </w:rPr>
            </w:pPr>
            <w:r>
              <w:rPr>
                <w:color w:val="auto"/>
              </w:rPr>
              <w:t xml:space="preserve">Senior Staff Specialist or Staff Specialist </w:t>
            </w:r>
            <w:r w:rsidR="00820BD2">
              <w:rPr>
                <w:color w:val="auto"/>
              </w:rPr>
              <w:t>–</w:t>
            </w:r>
            <w:r>
              <w:rPr>
                <w:color w:val="auto"/>
              </w:rPr>
              <w:t xml:space="preserve"> Paediatric</w:t>
            </w:r>
            <w:r w:rsidR="00820BD2">
              <w:rPr>
                <w:color w:val="auto"/>
              </w:rPr>
              <w:t xml:space="preserve"> Endocrinology</w:t>
            </w:r>
          </w:p>
        </w:tc>
        <w:tc>
          <w:tcPr>
            <w:tcW w:w="2127" w:type="dxa"/>
          </w:tcPr>
          <w:p w14:paraId="7D50C1C3" w14:textId="77777777" w:rsidR="009E2F07" w:rsidRPr="00026DE9" w:rsidRDefault="009E2F07" w:rsidP="00D04923">
            <w:pPr>
              <w:pStyle w:val="BodyText"/>
              <w:spacing w:line="240" w:lineRule="auto"/>
              <w:rPr>
                <w:b/>
                <w:color w:val="003591" w:themeColor="text2"/>
                <w:lang w:val="en-US"/>
              </w:rPr>
            </w:pPr>
            <w:r w:rsidRPr="00026DE9">
              <w:rPr>
                <w:b/>
                <w:color w:val="003591" w:themeColor="text2"/>
                <w:lang w:val="en-US"/>
              </w:rPr>
              <w:t>Classification:</w:t>
            </w:r>
          </w:p>
        </w:tc>
        <w:tc>
          <w:tcPr>
            <w:tcW w:w="3401" w:type="dxa"/>
          </w:tcPr>
          <w:p w14:paraId="1E2660D6" w14:textId="37C247E1" w:rsidR="009E2F07" w:rsidRPr="009E2F07" w:rsidRDefault="007003DE" w:rsidP="00D04923">
            <w:pPr>
              <w:pStyle w:val="BodyText"/>
              <w:spacing w:line="240" w:lineRule="auto"/>
              <w:rPr>
                <w:color w:val="auto"/>
                <w:lang w:val="en-US"/>
              </w:rPr>
            </w:pPr>
            <w:r>
              <w:rPr>
                <w:color w:val="auto"/>
              </w:rPr>
              <w:t>L18-L27</w:t>
            </w:r>
          </w:p>
        </w:tc>
      </w:tr>
      <w:tr w:rsidR="009E2F07" w14:paraId="3F43B878" w14:textId="77777777" w:rsidTr="00D04923">
        <w:trPr>
          <w:trHeight w:val="471"/>
        </w:trPr>
        <w:tc>
          <w:tcPr>
            <w:tcW w:w="1696" w:type="dxa"/>
          </w:tcPr>
          <w:p w14:paraId="4047AAA3" w14:textId="77777777" w:rsidR="009E2F07" w:rsidRPr="00026DE9" w:rsidRDefault="009E2F07" w:rsidP="00D04923">
            <w:pPr>
              <w:pStyle w:val="BodyText"/>
              <w:spacing w:line="240" w:lineRule="auto"/>
              <w:rPr>
                <w:b/>
                <w:color w:val="003591" w:themeColor="text2"/>
                <w:lang w:val="en-US"/>
              </w:rPr>
            </w:pPr>
            <w:r w:rsidRPr="00026DE9">
              <w:rPr>
                <w:b/>
                <w:color w:val="003591" w:themeColor="text2"/>
                <w:lang w:val="en-US"/>
              </w:rPr>
              <w:t>Employment status:</w:t>
            </w:r>
          </w:p>
        </w:tc>
        <w:tc>
          <w:tcPr>
            <w:tcW w:w="3261" w:type="dxa"/>
          </w:tcPr>
          <w:p w14:paraId="0FCAD615" w14:textId="77777777" w:rsidR="00311D2A" w:rsidRDefault="00820BD2" w:rsidP="00D04923">
            <w:pPr>
              <w:pStyle w:val="BodyText"/>
              <w:spacing w:line="240" w:lineRule="auto"/>
              <w:ind w:right="144"/>
              <w:rPr>
                <w:color w:val="auto"/>
              </w:rPr>
            </w:pPr>
            <w:r>
              <w:rPr>
                <w:color w:val="auto"/>
              </w:rPr>
              <w:t xml:space="preserve">Permanent </w:t>
            </w:r>
            <w:r w:rsidR="00311D2A">
              <w:rPr>
                <w:color w:val="auto"/>
              </w:rPr>
              <w:t xml:space="preserve">part-time, </w:t>
            </w:r>
          </w:p>
          <w:p w14:paraId="186A08E8" w14:textId="090A0163" w:rsidR="009E2F07" w:rsidRPr="009E2F07" w:rsidRDefault="00311D2A" w:rsidP="00D04923">
            <w:pPr>
              <w:pStyle w:val="BodyText"/>
              <w:spacing w:line="240" w:lineRule="auto"/>
              <w:ind w:right="144"/>
              <w:rPr>
                <w:color w:val="auto"/>
                <w:lang w:val="en-US"/>
              </w:rPr>
            </w:pPr>
            <w:r>
              <w:rPr>
                <w:color w:val="auto"/>
                <w:lang w:val="en-US"/>
              </w:rPr>
              <w:t>64 hours per fortnight</w:t>
            </w:r>
          </w:p>
        </w:tc>
        <w:tc>
          <w:tcPr>
            <w:tcW w:w="2127" w:type="dxa"/>
          </w:tcPr>
          <w:p w14:paraId="36E47004" w14:textId="2E052483" w:rsidR="009E2F07" w:rsidRPr="00026DE9" w:rsidRDefault="00A13CD4" w:rsidP="00D04923">
            <w:pPr>
              <w:pStyle w:val="BodyText"/>
              <w:spacing w:line="240" w:lineRule="auto"/>
              <w:rPr>
                <w:b/>
                <w:color w:val="003591" w:themeColor="text2"/>
                <w:lang w:val="en-US"/>
              </w:rPr>
            </w:pPr>
            <w:r>
              <w:rPr>
                <w:b/>
                <w:color w:val="003591" w:themeColor="text2"/>
                <w:lang w:val="en-US"/>
              </w:rPr>
              <w:t xml:space="preserve">Base </w:t>
            </w:r>
            <w:r w:rsidR="009E2F07" w:rsidRPr="00026DE9">
              <w:rPr>
                <w:b/>
                <w:color w:val="003591" w:themeColor="text2"/>
                <w:lang w:val="en-US"/>
              </w:rPr>
              <w:t>Salary:</w:t>
            </w:r>
          </w:p>
        </w:tc>
        <w:tc>
          <w:tcPr>
            <w:tcW w:w="3401" w:type="dxa"/>
          </w:tcPr>
          <w:p w14:paraId="74AA2B15" w14:textId="6A376C63" w:rsidR="009E2F07" w:rsidRPr="009E2F07" w:rsidRDefault="00A13CD4" w:rsidP="00D04923">
            <w:pPr>
              <w:pStyle w:val="BodyText"/>
              <w:spacing w:line="240" w:lineRule="auto"/>
              <w:rPr>
                <w:color w:val="auto"/>
                <w:lang w:val="en-US"/>
              </w:rPr>
            </w:pPr>
            <w:r w:rsidRPr="00A13CD4">
              <w:rPr>
                <w:color w:val="auto"/>
              </w:rPr>
              <w:t>$</w:t>
            </w:r>
            <w:r w:rsidR="00B91D21">
              <w:rPr>
                <w:color w:val="auto"/>
              </w:rPr>
              <w:t>100.78</w:t>
            </w:r>
            <w:r w:rsidRPr="00A13CD4">
              <w:rPr>
                <w:color w:val="auto"/>
              </w:rPr>
              <w:t xml:space="preserve"> - $</w:t>
            </w:r>
            <w:r w:rsidR="00B91D21">
              <w:rPr>
                <w:color w:val="auto"/>
              </w:rPr>
              <w:t>127.77</w:t>
            </w:r>
            <w:r w:rsidR="005811D1">
              <w:rPr>
                <w:color w:val="auto"/>
              </w:rPr>
              <w:t xml:space="preserve"> </w:t>
            </w:r>
            <w:r w:rsidR="00D04923">
              <w:rPr>
                <w:color w:val="auto"/>
              </w:rPr>
              <w:br/>
            </w:r>
            <w:r w:rsidR="007405A4" w:rsidRPr="007405A4">
              <w:rPr>
                <w:color w:val="auto"/>
              </w:rPr>
              <w:t xml:space="preserve">per </w:t>
            </w:r>
            <w:r>
              <w:rPr>
                <w:color w:val="auto"/>
              </w:rPr>
              <w:t>hour</w:t>
            </w:r>
          </w:p>
        </w:tc>
      </w:tr>
      <w:tr w:rsidR="007405A4" w14:paraId="12BD4723" w14:textId="77777777" w:rsidTr="00D04923">
        <w:trPr>
          <w:trHeight w:val="453"/>
        </w:trPr>
        <w:tc>
          <w:tcPr>
            <w:tcW w:w="1696" w:type="dxa"/>
            <w:vMerge w:val="restart"/>
          </w:tcPr>
          <w:p w14:paraId="2408A68B" w14:textId="77777777" w:rsidR="007405A4" w:rsidRPr="00026DE9" w:rsidRDefault="007405A4" w:rsidP="00D04923">
            <w:pPr>
              <w:pStyle w:val="BodyText"/>
              <w:spacing w:line="240" w:lineRule="auto"/>
              <w:rPr>
                <w:b/>
                <w:color w:val="003591" w:themeColor="text2"/>
                <w:lang w:val="en-US"/>
              </w:rPr>
            </w:pPr>
            <w:r w:rsidRPr="00026DE9">
              <w:rPr>
                <w:b/>
                <w:color w:val="003591" w:themeColor="text2"/>
                <w:lang w:val="en-US"/>
              </w:rPr>
              <w:t>Unit/ Branch:</w:t>
            </w:r>
          </w:p>
        </w:tc>
        <w:tc>
          <w:tcPr>
            <w:tcW w:w="3261" w:type="dxa"/>
            <w:vMerge w:val="restart"/>
          </w:tcPr>
          <w:p w14:paraId="7AE9D8E4" w14:textId="29F12A01" w:rsidR="007405A4" w:rsidRPr="009E2F07" w:rsidRDefault="007003DE" w:rsidP="00D04923">
            <w:pPr>
              <w:pStyle w:val="BodyText"/>
              <w:spacing w:line="240" w:lineRule="auto"/>
              <w:ind w:right="144"/>
              <w:rPr>
                <w:color w:val="auto"/>
              </w:rPr>
            </w:pPr>
            <w:r>
              <w:rPr>
                <w:color w:val="auto"/>
              </w:rPr>
              <w:t>Paediatrics Department</w:t>
            </w:r>
          </w:p>
          <w:p w14:paraId="78329E15" w14:textId="561D40D9" w:rsidR="007405A4" w:rsidRPr="009E2F07" w:rsidRDefault="007003DE" w:rsidP="00D04923">
            <w:pPr>
              <w:pStyle w:val="BodyText"/>
              <w:spacing w:line="240" w:lineRule="auto"/>
              <w:ind w:right="144"/>
              <w:rPr>
                <w:color w:val="auto"/>
              </w:rPr>
            </w:pPr>
            <w:r>
              <w:rPr>
                <w:color w:val="auto"/>
              </w:rPr>
              <w:t>Women’s and Children’s Service Group</w:t>
            </w:r>
          </w:p>
        </w:tc>
        <w:tc>
          <w:tcPr>
            <w:tcW w:w="2127" w:type="dxa"/>
          </w:tcPr>
          <w:p w14:paraId="48E78430" w14:textId="77777777" w:rsidR="007405A4" w:rsidRPr="00026DE9" w:rsidRDefault="007405A4" w:rsidP="00D04923">
            <w:pPr>
              <w:pStyle w:val="BodyText"/>
              <w:spacing w:line="240" w:lineRule="auto"/>
              <w:rPr>
                <w:b/>
                <w:color w:val="003591" w:themeColor="text2"/>
                <w:lang w:val="en-US"/>
              </w:rPr>
            </w:pPr>
            <w:r>
              <w:rPr>
                <w:b/>
                <w:color w:val="003591" w:themeColor="text2"/>
                <w:lang w:val="en-US"/>
              </w:rPr>
              <w:t>Contact Name</w:t>
            </w:r>
            <w:r w:rsidRPr="00026DE9">
              <w:rPr>
                <w:b/>
                <w:color w:val="003591" w:themeColor="text2"/>
                <w:lang w:val="en-US"/>
              </w:rPr>
              <w:t>:</w:t>
            </w:r>
          </w:p>
        </w:tc>
        <w:tc>
          <w:tcPr>
            <w:tcW w:w="3401" w:type="dxa"/>
          </w:tcPr>
          <w:p w14:paraId="74C70950" w14:textId="4AAD90DF" w:rsidR="007405A4" w:rsidRPr="00C82A52" w:rsidRDefault="007003DE" w:rsidP="00D04923">
            <w:pPr>
              <w:spacing w:before="120" w:after="120"/>
              <w:rPr>
                <w:szCs w:val="20"/>
              </w:rPr>
            </w:pPr>
            <w:r>
              <w:t>Dr Andrew White</w:t>
            </w:r>
          </w:p>
        </w:tc>
      </w:tr>
      <w:tr w:rsidR="007405A4" w14:paraId="66DD5732" w14:textId="77777777" w:rsidTr="00D04923">
        <w:trPr>
          <w:trHeight w:val="486"/>
        </w:trPr>
        <w:tc>
          <w:tcPr>
            <w:tcW w:w="1696" w:type="dxa"/>
            <w:vMerge/>
          </w:tcPr>
          <w:p w14:paraId="025ED3F9" w14:textId="77777777" w:rsidR="007405A4" w:rsidRPr="00026DE9" w:rsidRDefault="007405A4" w:rsidP="00D04923">
            <w:pPr>
              <w:pStyle w:val="BodyText"/>
              <w:spacing w:line="240" w:lineRule="auto"/>
              <w:rPr>
                <w:b/>
                <w:color w:val="003591" w:themeColor="text2"/>
                <w:lang w:val="en-US"/>
              </w:rPr>
            </w:pPr>
          </w:p>
        </w:tc>
        <w:tc>
          <w:tcPr>
            <w:tcW w:w="3261" w:type="dxa"/>
            <w:vMerge/>
          </w:tcPr>
          <w:p w14:paraId="0AF6AB29" w14:textId="77777777" w:rsidR="007405A4" w:rsidRPr="009E2F07" w:rsidRDefault="007405A4" w:rsidP="00D04923">
            <w:pPr>
              <w:pStyle w:val="BodyText"/>
              <w:spacing w:line="240" w:lineRule="auto"/>
              <w:ind w:right="144"/>
              <w:rPr>
                <w:color w:val="auto"/>
              </w:rPr>
            </w:pPr>
          </w:p>
        </w:tc>
        <w:tc>
          <w:tcPr>
            <w:tcW w:w="2127" w:type="dxa"/>
          </w:tcPr>
          <w:p w14:paraId="3411041D" w14:textId="77777777" w:rsidR="007405A4" w:rsidRDefault="007405A4" w:rsidP="00D04923">
            <w:pPr>
              <w:pStyle w:val="BodyText"/>
              <w:spacing w:line="240" w:lineRule="auto"/>
              <w:rPr>
                <w:b/>
                <w:color w:val="003591" w:themeColor="text2"/>
                <w:lang w:val="en-US"/>
              </w:rPr>
            </w:pPr>
            <w:r>
              <w:rPr>
                <w:b/>
                <w:color w:val="003591" w:themeColor="text2"/>
                <w:lang w:val="en-US"/>
              </w:rPr>
              <w:t>Contact Number:</w:t>
            </w:r>
          </w:p>
        </w:tc>
        <w:tc>
          <w:tcPr>
            <w:tcW w:w="3401" w:type="dxa"/>
          </w:tcPr>
          <w:p w14:paraId="0BD78A32" w14:textId="592A35AC" w:rsidR="007405A4" w:rsidRPr="00C82A52" w:rsidRDefault="007405A4" w:rsidP="00D04923">
            <w:pPr>
              <w:spacing w:before="120" w:after="120"/>
              <w:rPr>
                <w:szCs w:val="20"/>
              </w:rPr>
            </w:pPr>
            <w:r>
              <w:rPr>
                <w:szCs w:val="20"/>
              </w:rPr>
              <w:t xml:space="preserve">07 4433 </w:t>
            </w:r>
            <w:r w:rsidR="007003DE">
              <w:t>14</w:t>
            </w:r>
            <w:r w:rsidR="00802CE9">
              <w:t>57</w:t>
            </w:r>
          </w:p>
        </w:tc>
      </w:tr>
      <w:tr w:rsidR="009E2F07" w14:paraId="02A2AEEB" w14:textId="77777777" w:rsidTr="00D04923">
        <w:trPr>
          <w:trHeight w:val="486"/>
        </w:trPr>
        <w:tc>
          <w:tcPr>
            <w:tcW w:w="1696" w:type="dxa"/>
          </w:tcPr>
          <w:p w14:paraId="5467161B" w14:textId="77777777" w:rsidR="009E2F07" w:rsidRPr="00026DE9" w:rsidRDefault="009E2F07" w:rsidP="00D04923">
            <w:pPr>
              <w:pStyle w:val="BodyText"/>
              <w:spacing w:line="240" w:lineRule="auto"/>
              <w:rPr>
                <w:b/>
                <w:color w:val="003591" w:themeColor="text2"/>
                <w:lang w:val="en-US"/>
              </w:rPr>
            </w:pPr>
            <w:r w:rsidRPr="00026DE9">
              <w:rPr>
                <w:b/>
                <w:color w:val="003591" w:themeColor="text2"/>
                <w:lang w:val="en-US"/>
              </w:rPr>
              <w:t>Location:</w:t>
            </w:r>
          </w:p>
        </w:tc>
        <w:tc>
          <w:tcPr>
            <w:tcW w:w="3261" w:type="dxa"/>
          </w:tcPr>
          <w:p w14:paraId="11C7F269" w14:textId="115D11F6" w:rsidR="009E2F07" w:rsidRPr="009E2F07" w:rsidRDefault="007003DE" w:rsidP="00D04923">
            <w:pPr>
              <w:pStyle w:val="BodyText"/>
              <w:spacing w:line="240" w:lineRule="auto"/>
              <w:ind w:right="144"/>
              <w:rPr>
                <w:color w:val="auto"/>
                <w:lang w:val="en-US"/>
              </w:rPr>
            </w:pPr>
            <w:r>
              <w:rPr>
                <w:color w:val="auto"/>
              </w:rPr>
              <w:t>Townsville University Hospital</w:t>
            </w:r>
          </w:p>
        </w:tc>
        <w:tc>
          <w:tcPr>
            <w:tcW w:w="2127" w:type="dxa"/>
          </w:tcPr>
          <w:p w14:paraId="3EAB6F80" w14:textId="77777777" w:rsidR="009E2F07" w:rsidRPr="00026DE9" w:rsidRDefault="009E2F07" w:rsidP="00D04923">
            <w:pPr>
              <w:pStyle w:val="BodyText"/>
              <w:spacing w:line="240" w:lineRule="auto"/>
              <w:rPr>
                <w:b/>
                <w:color w:val="003591" w:themeColor="text2"/>
                <w:lang w:val="en-US"/>
              </w:rPr>
            </w:pPr>
            <w:r w:rsidRPr="00026DE9">
              <w:rPr>
                <w:b/>
                <w:color w:val="003591" w:themeColor="text2"/>
                <w:lang w:val="en-US"/>
              </w:rPr>
              <w:t>C</w:t>
            </w:r>
            <w:r>
              <w:rPr>
                <w:b/>
                <w:color w:val="003591" w:themeColor="text2"/>
                <w:lang w:val="en-US"/>
              </w:rPr>
              <w:t>losing Date</w:t>
            </w:r>
            <w:r w:rsidRPr="00026DE9">
              <w:rPr>
                <w:b/>
                <w:color w:val="003591" w:themeColor="text2"/>
                <w:lang w:val="en-US"/>
              </w:rPr>
              <w:t>:</w:t>
            </w:r>
          </w:p>
        </w:tc>
        <w:tc>
          <w:tcPr>
            <w:tcW w:w="3401" w:type="dxa"/>
          </w:tcPr>
          <w:p w14:paraId="4C7A15C9" w14:textId="13194E26" w:rsidR="00CC6337" w:rsidRPr="009E2F07" w:rsidRDefault="00311D2A" w:rsidP="00410948">
            <w:pPr>
              <w:pStyle w:val="BodyText"/>
              <w:spacing w:line="240" w:lineRule="auto"/>
              <w:rPr>
                <w:color w:val="auto"/>
                <w:lang w:val="en-US"/>
              </w:rPr>
            </w:pPr>
            <w:r>
              <w:rPr>
                <w:color w:val="auto"/>
                <w:lang w:val="en-US"/>
              </w:rPr>
              <w:t>Tuesday, 21 October 2025</w:t>
            </w:r>
          </w:p>
        </w:tc>
      </w:tr>
    </w:tbl>
    <w:p w14:paraId="361D1A41" w14:textId="54F3A58A" w:rsidR="00B30147" w:rsidRPr="00CC6337" w:rsidRDefault="00B30147" w:rsidP="00CC6337">
      <w:pPr>
        <w:pStyle w:val="Heading1"/>
        <w:spacing w:before="240" w:after="120"/>
        <w:rPr>
          <w:sz w:val="24"/>
          <w:szCs w:val="24"/>
        </w:rPr>
      </w:pPr>
      <w:r w:rsidRPr="00CC6337">
        <w:rPr>
          <w:sz w:val="24"/>
          <w:szCs w:val="24"/>
        </w:rPr>
        <w:t xml:space="preserve">The </w:t>
      </w:r>
      <w:r w:rsidR="00DC7A8E">
        <w:rPr>
          <w:sz w:val="24"/>
          <w:szCs w:val="24"/>
        </w:rPr>
        <w:t>o</w:t>
      </w:r>
      <w:r w:rsidRPr="00CC6337">
        <w:rPr>
          <w:sz w:val="24"/>
          <w:szCs w:val="24"/>
        </w:rPr>
        <w:t>pportunity</w:t>
      </w:r>
    </w:p>
    <w:p w14:paraId="522A5DBB" w14:textId="586C4028" w:rsidR="007003DE" w:rsidRDefault="007003DE" w:rsidP="007003DE">
      <w:pPr>
        <w:pStyle w:val="BodyText"/>
        <w:spacing w:line="240" w:lineRule="auto"/>
      </w:pPr>
      <w:r>
        <w:rPr>
          <w:rFonts w:cs="Arial"/>
        </w:rPr>
        <w:t xml:space="preserve">To work in the tertiary children’s hospital for North Queensland.  </w:t>
      </w:r>
      <w:r>
        <w:t>Townsville University Hospital (TUH) is the only Queensland tertiary children’s service outside of southeast Queensland and provides services to the entire northern Queensland region.  TUH is located adjacent to James Cook University</w:t>
      </w:r>
      <w:r w:rsidR="00E2686B">
        <w:t xml:space="preserve"> (JCU)</w:t>
      </w:r>
      <w:r>
        <w:t xml:space="preserve"> College of Medicine and academic links are supported. </w:t>
      </w:r>
    </w:p>
    <w:p w14:paraId="67357673" w14:textId="0FE1A9ED" w:rsidR="00820BD2" w:rsidRDefault="007003DE" w:rsidP="007003DE">
      <w:pPr>
        <w:pStyle w:val="BodyText"/>
        <w:spacing w:line="240" w:lineRule="auto"/>
      </w:pPr>
      <w:r>
        <w:t xml:space="preserve">To work </w:t>
      </w:r>
      <w:r w:rsidR="00820BD2">
        <w:t>as a paediatric endocrinologist joining the existing sub-specialist to provide a tertiary service to northern Queensland.</w:t>
      </w:r>
    </w:p>
    <w:p w14:paraId="3E5AC193" w14:textId="049CB00C" w:rsidR="007003DE" w:rsidRDefault="00820BD2" w:rsidP="007003DE">
      <w:pPr>
        <w:pStyle w:val="BodyText"/>
        <w:spacing w:line="240" w:lineRule="auto"/>
      </w:pPr>
      <w:r>
        <w:rPr>
          <w:u w:val="single"/>
        </w:rPr>
        <w:t>General Endocrinology:</w:t>
      </w:r>
      <w:r>
        <w:t xml:space="preserve"> Currently, the service supports Mackay Hospital and Health Service (MHHS) and North West Hospital and Health Service (NWHHS) for general endocrinology via telehealth.  There is also an opportunity to provide face to face outreach visits and education on top of the existing telehealth service.  The service supports the tertiary level Paediatric and Neonatal Intensive Care Units, along with several other sub-specialities including </w:t>
      </w:r>
      <w:r w:rsidR="00E2686B">
        <w:t>paediatric surgery and oncology</w:t>
      </w:r>
      <w:r>
        <w:t>.  Dynamic testing is performed in the paediatric day unit using standardised protocols.</w:t>
      </w:r>
    </w:p>
    <w:p w14:paraId="54ACA2AC" w14:textId="28217939" w:rsidR="00820BD2" w:rsidRPr="00820BD2" w:rsidRDefault="00820BD2" w:rsidP="007003DE">
      <w:pPr>
        <w:pStyle w:val="BodyText"/>
        <w:spacing w:line="240" w:lineRule="auto"/>
      </w:pPr>
      <w:r>
        <w:rPr>
          <w:u w:val="single"/>
        </w:rPr>
        <w:t>Diabetes</w:t>
      </w:r>
      <w:r>
        <w:t>: TUH provide</w:t>
      </w:r>
      <w:r w:rsidR="00E2686B">
        <w:t>s</w:t>
      </w:r>
      <w:r>
        <w:t xml:space="preserve"> a tertiary paediatric diabetes service</w:t>
      </w:r>
      <w:r w:rsidR="00E2686B">
        <w:t xml:space="preserve"> supported by a paediatric diabetes nurse practitioner, nurse educator </w:t>
      </w:r>
      <w:r w:rsidR="0044129B">
        <w:t xml:space="preserve">General Paediatrician </w:t>
      </w:r>
      <w:r w:rsidR="00E2686B">
        <w:t xml:space="preserve">and </w:t>
      </w:r>
      <w:r w:rsidR="0044129B">
        <w:t>basic training registrar</w:t>
      </w:r>
      <w:r w:rsidR="00E2686B">
        <w:t>.  TUH provides a general paediatric diabetes clinic, an adolescent and young adult clinic in partnership with adult endocrinology and plans for a pre-diabetes/screening clinic in the future. TUH is the acute retrieval service for diabetes in the north.  With expansion of the SMO workforce, there is an opportunity to provide</w:t>
      </w:r>
      <w:r w:rsidR="00167DE9">
        <w:t xml:space="preserve"> outpatient</w:t>
      </w:r>
      <w:r w:rsidR="00E2686B">
        <w:t xml:space="preserve"> diabetes support to MHHS and NWHHS via a networked service model (currently being provided by Queensland Children’s Hospital (QCH)).</w:t>
      </w:r>
    </w:p>
    <w:p w14:paraId="3AC10642" w14:textId="364491F1" w:rsidR="007003DE" w:rsidRDefault="00E2686B" w:rsidP="007003DE">
      <w:pPr>
        <w:pStyle w:val="BodyText"/>
        <w:spacing w:line="240" w:lineRule="auto"/>
      </w:pPr>
      <w:r>
        <w:t xml:space="preserve">The position will conduct clinics in both general endocrine and diabetes, outreach and phone advice to other northern HHS as well as the internal critical care units.  </w:t>
      </w:r>
    </w:p>
    <w:p w14:paraId="1A19F45C" w14:textId="528C08B2" w:rsidR="007003DE" w:rsidRDefault="007003DE" w:rsidP="007003DE">
      <w:pPr>
        <w:pStyle w:val="BodyText"/>
        <w:spacing w:line="240" w:lineRule="auto"/>
      </w:pPr>
      <w:r>
        <w:t>The position is required to teach and supervise junior doctors and to supervise RACP paediatric trainees.</w:t>
      </w:r>
      <w:r w:rsidR="00E2686B">
        <w:t xml:space="preserve">  A new registrar position for paediatric endocrinology will commence in 2026 with plans to have the position accredited for </w:t>
      </w:r>
      <w:r w:rsidR="0044129B">
        <w:t>non-core</w:t>
      </w:r>
      <w:r w:rsidR="00E2686B">
        <w:t xml:space="preserve"> endocrine training in the future</w:t>
      </w:r>
      <w:r w:rsidR="00D71CE8">
        <w:t>.</w:t>
      </w:r>
    </w:p>
    <w:p w14:paraId="70C033DA" w14:textId="796B7E97" w:rsidR="007003DE" w:rsidRDefault="0044129B" w:rsidP="007003DE">
      <w:pPr>
        <w:pStyle w:val="BodyText"/>
        <w:spacing w:line="240" w:lineRule="auto"/>
      </w:pPr>
      <w:r>
        <w:t>Dual</w:t>
      </w:r>
      <w:r w:rsidR="00E2686B">
        <w:t xml:space="preserve"> training in general paediatrics would be beneficial but not necessary for the position.  There is an opportunity to be part of the acute paediatric on call roster if duel trained.  Afterhours paediatric endocrinology is covered by general paediatrics internally with escalation to QCH if required.</w:t>
      </w:r>
    </w:p>
    <w:p w14:paraId="69AA82FF" w14:textId="3D15402C" w:rsidR="00E2686B" w:rsidRDefault="00E2686B" w:rsidP="007003DE">
      <w:pPr>
        <w:pStyle w:val="BodyText"/>
        <w:spacing w:line="240" w:lineRule="auto"/>
      </w:pPr>
      <w:r>
        <w:t>There is an opportunity to work with JCU and TUH to increase the research portfolio in Paediatric Endocrinology and Diabetes, including support to complete existing activities including PhD.</w:t>
      </w:r>
    </w:p>
    <w:p w14:paraId="2AA63CE1" w14:textId="77777777" w:rsidR="00026DE9" w:rsidRPr="00CC6337" w:rsidRDefault="00026DE9" w:rsidP="00CC6337">
      <w:pPr>
        <w:pStyle w:val="Heading1"/>
        <w:spacing w:before="240" w:after="120"/>
        <w:rPr>
          <w:sz w:val="24"/>
          <w:szCs w:val="24"/>
        </w:rPr>
      </w:pPr>
      <w:r w:rsidRPr="00D04923">
        <w:rPr>
          <w:sz w:val="24"/>
          <w:szCs w:val="24"/>
        </w:rPr>
        <w:t>Reporting line, staffing, and budget responsibilities</w:t>
      </w:r>
      <w:bookmarkStart w:id="2" w:name="Text22"/>
    </w:p>
    <w:bookmarkEnd w:id="2"/>
    <w:p w14:paraId="3FD8C620" w14:textId="18892A9C" w:rsidR="009E2F07" w:rsidRPr="007003DE" w:rsidRDefault="007003DE" w:rsidP="007003DE">
      <w:pPr>
        <w:pStyle w:val="BodyText"/>
        <w:numPr>
          <w:ilvl w:val="0"/>
          <w:numId w:val="12"/>
        </w:numPr>
        <w:spacing w:line="240" w:lineRule="auto"/>
      </w:pPr>
      <w:r>
        <w:t>This position operationally and professionally reports to the Director of Paediatrics.</w:t>
      </w:r>
    </w:p>
    <w:p w14:paraId="7A35A13F" w14:textId="77777777" w:rsidR="009E2F07" w:rsidRPr="00CC6337" w:rsidRDefault="00382B6C" w:rsidP="00CC6337">
      <w:pPr>
        <w:pStyle w:val="Heading1"/>
        <w:spacing w:before="240" w:after="120"/>
        <w:rPr>
          <w:sz w:val="24"/>
          <w:szCs w:val="24"/>
        </w:rPr>
      </w:pPr>
      <w:r w:rsidRPr="009E2F07">
        <w:rPr>
          <w:sz w:val="24"/>
          <w:szCs w:val="24"/>
        </w:rPr>
        <w:lastRenderedPageBreak/>
        <w:t>The role</w:t>
      </w:r>
      <w:bookmarkStart w:id="3" w:name="Text12"/>
    </w:p>
    <w:p w14:paraId="7677F61A" w14:textId="77777777" w:rsidR="00382B6C" w:rsidRPr="009E2F07" w:rsidRDefault="00AA751D" w:rsidP="00D04923">
      <w:pPr>
        <w:spacing w:before="240" w:after="120"/>
        <w:rPr>
          <w:rFonts w:cs="Arial"/>
          <w:szCs w:val="20"/>
        </w:rPr>
      </w:pPr>
      <w:r w:rsidRPr="009E2F07">
        <w:rPr>
          <w:i/>
          <w:color w:val="00A1DE"/>
          <w:szCs w:val="20"/>
        </w:rPr>
        <w:t>Responsibilities:</w:t>
      </w:r>
    </w:p>
    <w:bookmarkEnd w:id="3"/>
    <w:p w14:paraId="5C6D63D2" w14:textId="38D0F996" w:rsidR="007003DE" w:rsidRDefault="007003DE" w:rsidP="007003DE">
      <w:pPr>
        <w:pStyle w:val="BodyText"/>
        <w:numPr>
          <w:ilvl w:val="0"/>
          <w:numId w:val="20"/>
        </w:numPr>
        <w:spacing w:line="240" w:lineRule="auto"/>
        <w:rPr>
          <w:rFonts w:cs="Arial"/>
        </w:rPr>
      </w:pPr>
      <w:r>
        <w:rPr>
          <w:rFonts w:cs="Arial"/>
        </w:rPr>
        <w:t>The role of the Staff Specialist Paediatric</w:t>
      </w:r>
      <w:r w:rsidR="00E2686B">
        <w:rPr>
          <w:rFonts w:cs="Arial"/>
        </w:rPr>
        <w:t xml:space="preserve"> Endocrinology</w:t>
      </w:r>
      <w:r>
        <w:rPr>
          <w:rFonts w:cs="Arial"/>
        </w:rPr>
        <w:t xml:space="preserve"> is to provide high quality clinical and non-clinical services to benefit the patients of the Townsville HHS.  This includes research as well as teaching the health professionals of the future.  </w:t>
      </w:r>
    </w:p>
    <w:p w14:paraId="6B9B4A40" w14:textId="67B46B83" w:rsidR="00CE7D6A" w:rsidRDefault="007003DE" w:rsidP="007003DE">
      <w:pPr>
        <w:pStyle w:val="BodyText"/>
        <w:numPr>
          <w:ilvl w:val="0"/>
          <w:numId w:val="20"/>
        </w:numPr>
        <w:spacing w:line="240" w:lineRule="auto"/>
        <w:rPr>
          <w:rFonts w:cs="Arial"/>
        </w:rPr>
      </w:pPr>
      <w:r>
        <w:rPr>
          <w:rFonts w:cs="Arial"/>
        </w:rPr>
        <w:t xml:space="preserve">Lead and manage the provision of medical services in accordance with the standard of the speciality, the ethics of the profession and in accordance with the Townsville HHS and Queensland Health (QH) policies, in hospital, community and outreach settings.  </w:t>
      </w:r>
    </w:p>
    <w:p w14:paraId="3F7C66B8" w14:textId="7421153C" w:rsidR="007003DE" w:rsidRDefault="007003DE" w:rsidP="00CE7D6A">
      <w:pPr>
        <w:pStyle w:val="BodyText"/>
        <w:numPr>
          <w:ilvl w:val="0"/>
          <w:numId w:val="20"/>
        </w:numPr>
        <w:spacing w:after="0" w:line="240" w:lineRule="auto"/>
        <w:rPr>
          <w:rFonts w:cs="Arial"/>
        </w:rPr>
      </w:pPr>
      <w:r>
        <w:rPr>
          <w:rFonts w:cs="Arial"/>
        </w:rPr>
        <w:t xml:space="preserve">In addition to the key responsibilities listed below, the role of the Staff Specialist is to provide such services as may be reasonably directed by the Medical Director, Service Group Director, and </w:t>
      </w:r>
      <w:r w:rsidR="004E2EAF">
        <w:rPr>
          <w:rFonts w:cs="Arial"/>
        </w:rPr>
        <w:t>Chief Medical Officer.</w:t>
      </w:r>
    </w:p>
    <w:p w14:paraId="49821ED4" w14:textId="77777777" w:rsidR="00CE7D6A" w:rsidRPr="00CE7D6A" w:rsidRDefault="00CE7D6A" w:rsidP="00CE7D6A">
      <w:pPr>
        <w:pStyle w:val="BodyText"/>
        <w:spacing w:after="0" w:line="240" w:lineRule="auto"/>
        <w:rPr>
          <w:rFonts w:cs="Arial"/>
          <w:sz w:val="2"/>
          <w:szCs w:val="2"/>
        </w:rPr>
      </w:pPr>
    </w:p>
    <w:p w14:paraId="227D8939" w14:textId="5CFCD292" w:rsidR="007003DE" w:rsidRDefault="007003DE" w:rsidP="00CE7D6A">
      <w:pPr>
        <w:rPr>
          <w:rFonts w:cs="Arial"/>
          <w:i/>
          <w:color w:val="000000"/>
        </w:rPr>
      </w:pPr>
      <w:r>
        <w:rPr>
          <w:rFonts w:cs="Arial"/>
          <w:i/>
          <w:color w:val="000000"/>
        </w:rPr>
        <w:t>As a Staff Specialist of the Townsville HHS, you are responsible for the following dimensions as outlined below:</w:t>
      </w:r>
    </w:p>
    <w:p w14:paraId="6A271223" w14:textId="77777777" w:rsidR="007003DE" w:rsidRPr="007003DE" w:rsidRDefault="007003DE" w:rsidP="007003DE">
      <w:pPr>
        <w:rPr>
          <w:rFonts w:cs="Arial"/>
          <w:i/>
          <w:color w:val="000000"/>
          <w:sz w:val="12"/>
          <w:szCs w:val="12"/>
        </w:rPr>
      </w:pPr>
    </w:p>
    <w:p w14:paraId="45060428" w14:textId="77777777" w:rsidR="007003DE" w:rsidRPr="00A13CD4" w:rsidRDefault="007003DE" w:rsidP="00A13CD4">
      <w:pPr>
        <w:spacing w:before="20" w:after="20" w:line="276" w:lineRule="auto"/>
        <w:rPr>
          <w:rFonts w:cs="Arial"/>
          <w:b/>
          <w:color w:val="003366"/>
        </w:rPr>
      </w:pPr>
      <w:r w:rsidRPr="00A13CD4">
        <w:rPr>
          <w:rFonts w:cs="Arial"/>
          <w:b/>
          <w:color w:val="003366"/>
        </w:rPr>
        <w:t>As a Medical Expert you are responsible for:</w:t>
      </w:r>
    </w:p>
    <w:p w14:paraId="12DA5211" w14:textId="77777777" w:rsidR="007003DE" w:rsidRPr="00A13CD4" w:rsidRDefault="007003DE" w:rsidP="00A13CD4">
      <w:pPr>
        <w:pStyle w:val="BodyText"/>
        <w:numPr>
          <w:ilvl w:val="0"/>
          <w:numId w:val="20"/>
        </w:numPr>
        <w:spacing w:line="240" w:lineRule="auto"/>
        <w:rPr>
          <w:rFonts w:cs="Arial"/>
        </w:rPr>
      </w:pPr>
      <w:r w:rsidRPr="00A13CD4">
        <w:rPr>
          <w:rFonts w:cs="Arial"/>
        </w:rPr>
        <w:t xml:space="preserve">The maintenance of appropriate credentials and working within your awarded Scope of Clinical Practice (SoCP) as determined by the HHS as limited by the Clinical Service Capability Framework (CSCF) of individual facilities.  </w:t>
      </w:r>
    </w:p>
    <w:p w14:paraId="5C8B205A" w14:textId="77777777" w:rsidR="007003DE" w:rsidRPr="00A13CD4" w:rsidRDefault="007003DE" w:rsidP="00A13CD4">
      <w:pPr>
        <w:pStyle w:val="BodyText"/>
        <w:numPr>
          <w:ilvl w:val="0"/>
          <w:numId w:val="20"/>
        </w:numPr>
        <w:spacing w:line="240" w:lineRule="auto"/>
        <w:rPr>
          <w:rFonts w:cs="Arial"/>
        </w:rPr>
      </w:pPr>
      <w:r w:rsidRPr="00A13CD4">
        <w:rPr>
          <w:rFonts w:cs="Arial"/>
        </w:rPr>
        <w:t>The provision of extensive and comprehensive experience, knowledge and skills within the discipline / department.</w:t>
      </w:r>
    </w:p>
    <w:p w14:paraId="60651627" w14:textId="77777777" w:rsidR="007003DE" w:rsidRPr="00A13CD4" w:rsidRDefault="007003DE" w:rsidP="00A13CD4">
      <w:pPr>
        <w:pStyle w:val="BodyText"/>
        <w:numPr>
          <w:ilvl w:val="0"/>
          <w:numId w:val="20"/>
        </w:numPr>
        <w:spacing w:line="240" w:lineRule="auto"/>
        <w:rPr>
          <w:rFonts w:cs="Arial"/>
        </w:rPr>
      </w:pPr>
      <w:r w:rsidRPr="00A13CD4">
        <w:rPr>
          <w:rFonts w:cs="Arial"/>
        </w:rPr>
        <w:t>To provide expert consultation and advice directly to patients, as well as within the organisation as required.</w:t>
      </w:r>
    </w:p>
    <w:p w14:paraId="210FC0DE" w14:textId="77EFC684" w:rsidR="007003DE" w:rsidRPr="00A13CD4" w:rsidRDefault="007003DE" w:rsidP="00A13CD4">
      <w:pPr>
        <w:pStyle w:val="BodyText"/>
        <w:numPr>
          <w:ilvl w:val="0"/>
          <w:numId w:val="20"/>
        </w:numPr>
        <w:spacing w:line="240" w:lineRule="auto"/>
        <w:rPr>
          <w:rFonts w:cs="Arial"/>
        </w:rPr>
      </w:pPr>
      <w:r w:rsidRPr="00A13CD4">
        <w:rPr>
          <w:rFonts w:cs="Arial"/>
        </w:rPr>
        <w:t xml:space="preserve">To provide expert clinical service to patients of the </w:t>
      </w:r>
      <w:r>
        <w:rPr>
          <w:rFonts w:cs="Arial"/>
        </w:rPr>
        <w:t xml:space="preserve">Townsville </w:t>
      </w:r>
      <w:r w:rsidRPr="00A13CD4">
        <w:rPr>
          <w:rFonts w:cs="Arial"/>
        </w:rPr>
        <w:t>HHS as directed within the above SoCP.</w:t>
      </w:r>
    </w:p>
    <w:p w14:paraId="449FB52E" w14:textId="77777777" w:rsidR="007003DE" w:rsidRPr="00CE7D6A" w:rsidRDefault="007003DE" w:rsidP="007003DE">
      <w:pPr>
        <w:spacing w:before="20" w:after="20"/>
        <w:rPr>
          <w:rFonts w:cs="Arial"/>
          <w:bCs/>
          <w:sz w:val="8"/>
          <w:szCs w:val="8"/>
        </w:rPr>
      </w:pPr>
    </w:p>
    <w:p w14:paraId="7466D14C" w14:textId="77777777" w:rsidR="007003DE" w:rsidRPr="00A13CD4" w:rsidRDefault="007003DE" w:rsidP="00A13CD4">
      <w:pPr>
        <w:spacing w:before="20" w:after="20" w:line="276" w:lineRule="auto"/>
        <w:rPr>
          <w:rFonts w:cs="Arial"/>
          <w:b/>
          <w:color w:val="003366"/>
        </w:rPr>
      </w:pPr>
      <w:r w:rsidRPr="00A13CD4">
        <w:rPr>
          <w:rFonts w:cs="Arial"/>
          <w:b/>
          <w:color w:val="003366"/>
        </w:rPr>
        <w:t>As a Professional you are responsible for:</w:t>
      </w:r>
    </w:p>
    <w:p w14:paraId="277849D8" w14:textId="77777777" w:rsidR="007003DE" w:rsidRPr="00A13CD4" w:rsidRDefault="007003DE" w:rsidP="00A13CD4">
      <w:pPr>
        <w:pStyle w:val="BodyText"/>
        <w:numPr>
          <w:ilvl w:val="0"/>
          <w:numId w:val="20"/>
        </w:numPr>
        <w:spacing w:line="240" w:lineRule="auto"/>
        <w:rPr>
          <w:rFonts w:cs="Arial"/>
        </w:rPr>
      </w:pPr>
      <w:r w:rsidRPr="00A13CD4">
        <w:rPr>
          <w:rFonts w:cs="Arial"/>
        </w:rPr>
        <w:t>Actively taking part in quality improvement, risk management, peer review and audit and to demonstrate positive change as a result. Demonstrating understanding and commitment to the principles of hospital accreditation.</w:t>
      </w:r>
    </w:p>
    <w:p w14:paraId="4CB5B969" w14:textId="77777777" w:rsidR="007003DE" w:rsidRPr="00A13CD4" w:rsidRDefault="007003DE" w:rsidP="00A13CD4">
      <w:pPr>
        <w:pStyle w:val="BodyText"/>
        <w:numPr>
          <w:ilvl w:val="0"/>
          <w:numId w:val="20"/>
        </w:numPr>
        <w:spacing w:line="240" w:lineRule="auto"/>
        <w:rPr>
          <w:rFonts w:cs="Arial"/>
        </w:rPr>
      </w:pPr>
      <w:r w:rsidRPr="00A13CD4">
        <w:rPr>
          <w:rFonts w:cs="Arial"/>
        </w:rPr>
        <w:t>Demonstrating ethical practice and decision making – in both clinical and non-clinical areas, including fulfilling all responsibilities of this role in accordance with the Queensland Public Service Code of Conduct at all times.</w:t>
      </w:r>
    </w:p>
    <w:p w14:paraId="7296D818" w14:textId="77777777" w:rsidR="007003DE" w:rsidRPr="00A13CD4" w:rsidRDefault="007003DE" w:rsidP="00A13CD4">
      <w:pPr>
        <w:pStyle w:val="BodyText"/>
        <w:numPr>
          <w:ilvl w:val="0"/>
          <w:numId w:val="20"/>
        </w:numPr>
        <w:spacing w:line="240" w:lineRule="auto"/>
        <w:rPr>
          <w:rFonts w:cs="Arial"/>
        </w:rPr>
      </w:pPr>
      <w:r w:rsidRPr="00A13CD4">
        <w:rPr>
          <w:rFonts w:cs="Arial"/>
        </w:rPr>
        <w:t>Undertaking self-initiated reflective practice and maintenance of continuing professional development (CPD) to maintain professional competence and expertise.</w:t>
      </w:r>
    </w:p>
    <w:p w14:paraId="1FED0097" w14:textId="3DF69009" w:rsidR="007003DE" w:rsidRPr="00A13CD4" w:rsidRDefault="007003DE" w:rsidP="00A13CD4">
      <w:pPr>
        <w:pStyle w:val="BodyText"/>
        <w:numPr>
          <w:ilvl w:val="0"/>
          <w:numId w:val="20"/>
        </w:numPr>
        <w:spacing w:line="240" w:lineRule="auto"/>
        <w:rPr>
          <w:rFonts w:cs="Arial"/>
        </w:rPr>
      </w:pPr>
      <w:r w:rsidRPr="00A13CD4">
        <w:rPr>
          <w:rFonts w:cs="Arial"/>
        </w:rPr>
        <w:t>Ensuring high quality and timely clinical and non-clinical documentation and management of information whether paper-based or enabled by information technology.  This includes being responsible for the quality and timeliness of documentation of medical staff who report to this position, including junior doctors.</w:t>
      </w:r>
    </w:p>
    <w:p w14:paraId="5AF1DE90" w14:textId="77777777" w:rsidR="00A13CD4" w:rsidRPr="00CE7D6A" w:rsidRDefault="00A13CD4" w:rsidP="00A13CD4">
      <w:pPr>
        <w:spacing w:before="20" w:after="20" w:line="276" w:lineRule="auto"/>
        <w:rPr>
          <w:rFonts w:cs="Arial"/>
          <w:bCs/>
          <w:sz w:val="8"/>
          <w:szCs w:val="8"/>
        </w:rPr>
      </w:pPr>
    </w:p>
    <w:p w14:paraId="623C5BAC" w14:textId="442BAF53" w:rsidR="007003DE" w:rsidRPr="00A13CD4" w:rsidRDefault="007003DE" w:rsidP="00A13CD4">
      <w:pPr>
        <w:spacing w:before="20" w:after="20" w:line="276" w:lineRule="auto"/>
        <w:rPr>
          <w:rFonts w:cs="Arial"/>
          <w:b/>
          <w:color w:val="003366"/>
        </w:rPr>
      </w:pPr>
      <w:r w:rsidRPr="00A13CD4">
        <w:rPr>
          <w:rFonts w:cs="Arial"/>
          <w:b/>
          <w:color w:val="003366"/>
        </w:rPr>
        <w:t>As a Clinical Lead you are responsible for:</w:t>
      </w:r>
    </w:p>
    <w:p w14:paraId="4095C5E1" w14:textId="77777777" w:rsidR="007003DE" w:rsidRPr="00A13CD4" w:rsidRDefault="007003DE" w:rsidP="00A13CD4">
      <w:pPr>
        <w:pStyle w:val="BodyText"/>
        <w:numPr>
          <w:ilvl w:val="0"/>
          <w:numId w:val="20"/>
        </w:numPr>
        <w:spacing w:line="240" w:lineRule="auto"/>
        <w:rPr>
          <w:rFonts w:cs="Arial"/>
        </w:rPr>
      </w:pPr>
      <w:r w:rsidRPr="00A13CD4">
        <w:rPr>
          <w:rFonts w:cs="Arial"/>
        </w:rPr>
        <w:t>Demonstrating professional leadership, support and medical input into the associated medical, surgical, nursing and allied health programmes and providing clinical governance and supervision of staff reporting to this position, including junior medical staff.</w:t>
      </w:r>
    </w:p>
    <w:p w14:paraId="4CD50DE6" w14:textId="77777777" w:rsidR="007003DE" w:rsidRPr="00A13CD4" w:rsidRDefault="007003DE" w:rsidP="00A13CD4">
      <w:pPr>
        <w:pStyle w:val="BodyText"/>
        <w:numPr>
          <w:ilvl w:val="0"/>
          <w:numId w:val="20"/>
        </w:numPr>
        <w:spacing w:line="240" w:lineRule="auto"/>
        <w:rPr>
          <w:rFonts w:cs="Arial"/>
        </w:rPr>
      </w:pPr>
      <w:r w:rsidRPr="00A13CD4">
        <w:rPr>
          <w:rFonts w:cs="Arial"/>
        </w:rPr>
        <w:t>Being aware of, and complying with legislation that applies to the area, as well as contributing to, and following QH, Townsville HHS and local policies and procedures as published.</w:t>
      </w:r>
    </w:p>
    <w:p w14:paraId="2482FD22" w14:textId="77777777" w:rsidR="007003DE" w:rsidRPr="00A13CD4" w:rsidRDefault="007003DE" w:rsidP="00A13CD4">
      <w:pPr>
        <w:pStyle w:val="BodyText"/>
        <w:numPr>
          <w:ilvl w:val="0"/>
          <w:numId w:val="20"/>
        </w:numPr>
        <w:spacing w:line="240" w:lineRule="auto"/>
        <w:rPr>
          <w:rFonts w:cs="Arial"/>
        </w:rPr>
      </w:pPr>
      <w:r w:rsidRPr="00A13CD4">
        <w:rPr>
          <w:rFonts w:cs="Arial"/>
        </w:rPr>
        <w:t>Management of resources available to you, including value management to reduce waste, and ensure that the resources available are used to deliver the greatest good to the greatest number of patients/clients.</w:t>
      </w:r>
    </w:p>
    <w:p w14:paraId="5035CD41" w14:textId="283FCB87" w:rsidR="007003DE" w:rsidRPr="00A13CD4" w:rsidRDefault="007003DE" w:rsidP="00A13CD4">
      <w:pPr>
        <w:pStyle w:val="BodyText"/>
        <w:numPr>
          <w:ilvl w:val="0"/>
          <w:numId w:val="20"/>
        </w:numPr>
        <w:spacing w:line="240" w:lineRule="auto"/>
        <w:rPr>
          <w:rFonts w:cs="Arial"/>
        </w:rPr>
      </w:pPr>
      <w:r w:rsidRPr="00A13CD4">
        <w:rPr>
          <w:rFonts w:cs="Arial"/>
        </w:rPr>
        <w:t>To advise the Executive Director of Medical Services, Service Group Director and Medical Director Service Group on issues relating to the discipline and Townsville HHS.</w:t>
      </w:r>
    </w:p>
    <w:p w14:paraId="326FCDF7" w14:textId="77777777" w:rsidR="007003DE" w:rsidRPr="00CE7D6A" w:rsidRDefault="007003DE" w:rsidP="007003DE">
      <w:pPr>
        <w:spacing w:before="20" w:after="20"/>
        <w:rPr>
          <w:rFonts w:cs="Arial"/>
          <w:bCs/>
          <w:sz w:val="8"/>
          <w:szCs w:val="8"/>
        </w:rPr>
      </w:pPr>
    </w:p>
    <w:p w14:paraId="3B101087" w14:textId="77777777" w:rsidR="007003DE" w:rsidRPr="00A13CD4" w:rsidRDefault="007003DE" w:rsidP="00A13CD4">
      <w:pPr>
        <w:spacing w:before="20" w:after="20" w:line="276" w:lineRule="auto"/>
        <w:rPr>
          <w:rFonts w:cs="Arial"/>
          <w:b/>
          <w:color w:val="003366"/>
        </w:rPr>
      </w:pPr>
      <w:r w:rsidRPr="00A13CD4">
        <w:rPr>
          <w:rFonts w:cs="Arial"/>
          <w:b/>
          <w:color w:val="003366"/>
        </w:rPr>
        <w:t>As a Scholar you are responsible for:</w:t>
      </w:r>
    </w:p>
    <w:p w14:paraId="7256E3AE" w14:textId="77777777" w:rsidR="007003DE" w:rsidRPr="00A13CD4" w:rsidRDefault="007003DE" w:rsidP="00A13CD4">
      <w:pPr>
        <w:pStyle w:val="BodyText"/>
        <w:numPr>
          <w:ilvl w:val="0"/>
          <w:numId w:val="20"/>
        </w:numPr>
        <w:spacing w:line="240" w:lineRule="auto"/>
        <w:rPr>
          <w:rFonts w:cs="Arial"/>
        </w:rPr>
      </w:pPr>
      <w:r w:rsidRPr="00A13CD4">
        <w:rPr>
          <w:rFonts w:cs="Arial"/>
        </w:rPr>
        <w:t>Supporting and / or undertaking research within your area of practice, including the obtaining of research funding where possible.  (Within the Ethics framework as outlined above).</w:t>
      </w:r>
    </w:p>
    <w:p w14:paraId="0A6985D9" w14:textId="063D40FE" w:rsidR="007003DE" w:rsidRPr="00A13CD4" w:rsidRDefault="007003DE" w:rsidP="00A13CD4">
      <w:pPr>
        <w:pStyle w:val="BodyText"/>
        <w:numPr>
          <w:ilvl w:val="0"/>
          <w:numId w:val="20"/>
        </w:numPr>
        <w:spacing w:line="240" w:lineRule="auto"/>
        <w:rPr>
          <w:rFonts w:cs="Arial"/>
        </w:rPr>
      </w:pPr>
      <w:r w:rsidRPr="00A13CD4">
        <w:rPr>
          <w:rFonts w:cs="Arial"/>
        </w:rPr>
        <w:t>Actively supporting and undertaking teaching of undergraduate and post-graduate clinical staff including medical and non-medical clinicians as well as non-clinical staff as required.</w:t>
      </w:r>
    </w:p>
    <w:p w14:paraId="76F315F4" w14:textId="77777777" w:rsidR="007003DE" w:rsidRPr="00CE7D6A" w:rsidRDefault="007003DE" w:rsidP="007003DE">
      <w:pPr>
        <w:spacing w:before="20" w:after="20"/>
        <w:rPr>
          <w:rFonts w:cs="Arial"/>
          <w:bCs/>
          <w:sz w:val="8"/>
          <w:szCs w:val="8"/>
        </w:rPr>
      </w:pPr>
    </w:p>
    <w:p w14:paraId="0D407E39" w14:textId="77777777" w:rsidR="007003DE" w:rsidRPr="00A13CD4" w:rsidRDefault="007003DE" w:rsidP="00A13CD4">
      <w:pPr>
        <w:spacing w:before="20" w:after="20" w:line="276" w:lineRule="auto"/>
        <w:rPr>
          <w:rFonts w:cs="Arial"/>
          <w:b/>
          <w:color w:val="003366"/>
        </w:rPr>
      </w:pPr>
      <w:r w:rsidRPr="00A13CD4">
        <w:rPr>
          <w:rFonts w:cs="Arial"/>
          <w:b/>
          <w:color w:val="003366"/>
        </w:rPr>
        <w:t>As a Collaborator you are responsible for:</w:t>
      </w:r>
    </w:p>
    <w:p w14:paraId="7E370082" w14:textId="77777777" w:rsidR="007003DE" w:rsidRPr="00A13CD4" w:rsidRDefault="007003DE" w:rsidP="00A13CD4">
      <w:pPr>
        <w:pStyle w:val="BodyText"/>
        <w:numPr>
          <w:ilvl w:val="0"/>
          <w:numId w:val="20"/>
        </w:numPr>
        <w:spacing w:line="240" w:lineRule="auto"/>
        <w:rPr>
          <w:rFonts w:cs="Arial"/>
        </w:rPr>
      </w:pPr>
      <w:r w:rsidRPr="00A13CD4">
        <w:rPr>
          <w:rFonts w:cs="Arial"/>
        </w:rPr>
        <w:t>Supporting and working harmoniously with:</w:t>
      </w:r>
    </w:p>
    <w:p w14:paraId="1F1B7716" w14:textId="77777777" w:rsidR="007003DE" w:rsidRPr="00A13CD4" w:rsidRDefault="007003DE" w:rsidP="00A13CD4">
      <w:pPr>
        <w:pStyle w:val="ListParagraph0"/>
        <w:numPr>
          <w:ilvl w:val="0"/>
          <w:numId w:val="33"/>
        </w:numPr>
        <w:spacing w:before="20" w:after="20" w:line="276" w:lineRule="auto"/>
        <w:rPr>
          <w:rFonts w:cs="Arial"/>
          <w:bCs/>
        </w:rPr>
      </w:pPr>
      <w:r w:rsidRPr="00A13CD4">
        <w:rPr>
          <w:rFonts w:cs="Arial"/>
          <w:bCs/>
        </w:rPr>
        <w:lastRenderedPageBreak/>
        <w:t>your immediate medical team and multidisciplinary members of your workplace</w:t>
      </w:r>
    </w:p>
    <w:p w14:paraId="7BB44435" w14:textId="77777777" w:rsidR="007003DE" w:rsidRPr="00A13CD4" w:rsidRDefault="007003DE" w:rsidP="00A13CD4">
      <w:pPr>
        <w:pStyle w:val="ListParagraph0"/>
        <w:numPr>
          <w:ilvl w:val="0"/>
          <w:numId w:val="33"/>
        </w:numPr>
        <w:spacing w:before="20" w:after="20" w:line="276" w:lineRule="auto"/>
        <w:rPr>
          <w:rFonts w:cs="Arial"/>
          <w:bCs/>
        </w:rPr>
      </w:pPr>
      <w:r w:rsidRPr="00A13CD4">
        <w:rPr>
          <w:rFonts w:cs="Arial"/>
          <w:bCs/>
        </w:rPr>
        <w:t xml:space="preserve">other departments / facilities within </w:t>
      </w:r>
      <w:r w:rsidRPr="00A13CD4">
        <w:rPr>
          <w:rFonts w:cs="Arial"/>
        </w:rPr>
        <w:t xml:space="preserve">Townsville </w:t>
      </w:r>
      <w:r w:rsidRPr="00A13CD4">
        <w:rPr>
          <w:rFonts w:cs="Arial"/>
          <w:bCs/>
        </w:rPr>
        <w:t>HHS</w:t>
      </w:r>
    </w:p>
    <w:p w14:paraId="4DA98E74" w14:textId="669E2EFE" w:rsidR="007003DE" w:rsidRPr="00A13CD4" w:rsidRDefault="007003DE" w:rsidP="00A13CD4">
      <w:pPr>
        <w:pStyle w:val="ListParagraph0"/>
        <w:numPr>
          <w:ilvl w:val="0"/>
          <w:numId w:val="33"/>
        </w:numPr>
        <w:spacing w:before="20" w:after="20" w:line="276" w:lineRule="auto"/>
        <w:rPr>
          <w:rFonts w:cs="Arial"/>
          <w:bCs/>
        </w:rPr>
      </w:pPr>
      <w:r w:rsidRPr="00A13CD4">
        <w:rPr>
          <w:rFonts w:cs="Arial"/>
          <w:bCs/>
        </w:rPr>
        <w:t>external stakeholders.</w:t>
      </w:r>
    </w:p>
    <w:p w14:paraId="5D7DC221" w14:textId="77777777" w:rsidR="007003DE" w:rsidRPr="00CE7D6A" w:rsidRDefault="007003DE" w:rsidP="007003DE">
      <w:pPr>
        <w:spacing w:before="20" w:after="20" w:line="276" w:lineRule="auto"/>
        <w:rPr>
          <w:rFonts w:cs="Arial"/>
          <w:bCs/>
          <w:sz w:val="8"/>
          <w:szCs w:val="8"/>
        </w:rPr>
      </w:pPr>
    </w:p>
    <w:p w14:paraId="7CCAD2E0" w14:textId="77777777" w:rsidR="007003DE" w:rsidRPr="00A13CD4" w:rsidRDefault="007003DE" w:rsidP="00A13CD4">
      <w:pPr>
        <w:spacing w:before="20" w:after="20" w:line="276" w:lineRule="auto"/>
        <w:rPr>
          <w:rFonts w:cs="Arial"/>
          <w:b/>
          <w:color w:val="003366"/>
        </w:rPr>
      </w:pPr>
      <w:r w:rsidRPr="00A13CD4">
        <w:rPr>
          <w:rFonts w:cs="Arial"/>
          <w:b/>
          <w:color w:val="003366"/>
        </w:rPr>
        <w:t>As a Communicator you are responsible for:</w:t>
      </w:r>
    </w:p>
    <w:p w14:paraId="0C08DA4F" w14:textId="77777777" w:rsidR="007003DE" w:rsidRPr="00A13CD4" w:rsidRDefault="007003DE" w:rsidP="00A13CD4">
      <w:pPr>
        <w:pStyle w:val="BodyText"/>
        <w:numPr>
          <w:ilvl w:val="0"/>
          <w:numId w:val="20"/>
        </w:numPr>
        <w:spacing w:line="240" w:lineRule="auto"/>
        <w:rPr>
          <w:rFonts w:cs="Arial"/>
        </w:rPr>
      </w:pPr>
      <w:r w:rsidRPr="00A13CD4">
        <w:rPr>
          <w:rFonts w:cs="Arial"/>
        </w:rPr>
        <w:t>Developing, displaying and utilising high level communication skills in all modalities including:</w:t>
      </w:r>
    </w:p>
    <w:p w14:paraId="4AABB0C9" w14:textId="77777777" w:rsidR="007003DE" w:rsidRDefault="007003DE" w:rsidP="00A13CD4">
      <w:pPr>
        <w:pStyle w:val="ListParagraph0"/>
        <w:numPr>
          <w:ilvl w:val="0"/>
          <w:numId w:val="33"/>
        </w:numPr>
        <w:spacing w:before="20" w:after="20" w:line="276" w:lineRule="auto"/>
        <w:rPr>
          <w:rFonts w:cs="Arial"/>
          <w:bCs/>
        </w:rPr>
      </w:pPr>
      <w:r>
        <w:rPr>
          <w:rFonts w:cs="Arial"/>
          <w:bCs/>
        </w:rPr>
        <w:t>Professional quality written communication in all documentation, including the medical record, emails and formal letters and reports.</w:t>
      </w:r>
    </w:p>
    <w:p w14:paraId="37A9EFAE" w14:textId="77777777" w:rsidR="007003DE" w:rsidRDefault="007003DE" w:rsidP="00A13CD4">
      <w:pPr>
        <w:pStyle w:val="ListParagraph0"/>
        <w:numPr>
          <w:ilvl w:val="0"/>
          <w:numId w:val="33"/>
        </w:numPr>
        <w:spacing w:before="20" w:after="20" w:line="276" w:lineRule="auto"/>
        <w:rPr>
          <w:rFonts w:cs="Arial"/>
          <w:bCs/>
        </w:rPr>
      </w:pPr>
      <w:r>
        <w:rPr>
          <w:rFonts w:cs="Arial"/>
          <w:bCs/>
        </w:rPr>
        <w:t>Audio-visual communication, from formal presentations to informal conversations.</w:t>
      </w:r>
    </w:p>
    <w:p w14:paraId="0D5CA5D4" w14:textId="77777777" w:rsidR="007003DE" w:rsidRDefault="007003DE" w:rsidP="00A13CD4">
      <w:pPr>
        <w:pStyle w:val="ListParagraph0"/>
        <w:numPr>
          <w:ilvl w:val="0"/>
          <w:numId w:val="33"/>
        </w:numPr>
        <w:spacing w:before="20" w:after="20" w:line="276" w:lineRule="auto"/>
        <w:rPr>
          <w:rFonts w:cs="Arial"/>
          <w:bCs/>
        </w:rPr>
      </w:pPr>
      <w:r>
        <w:rPr>
          <w:rFonts w:cs="Arial"/>
          <w:bCs/>
        </w:rPr>
        <w:t>Non-Verbal communication, including body language and other forms of communication.</w:t>
      </w:r>
    </w:p>
    <w:p w14:paraId="365271A9" w14:textId="57765752" w:rsidR="007003DE" w:rsidRDefault="007003DE" w:rsidP="00A13CD4">
      <w:pPr>
        <w:pStyle w:val="BodyText"/>
        <w:numPr>
          <w:ilvl w:val="0"/>
          <w:numId w:val="20"/>
        </w:numPr>
        <w:spacing w:line="240" w:lineRule="auto"/>
        <w:rPr>
          <w:rFonts w:cs="Arial"/>
        </w:rPr>
      </w:pPr>
      <w:r w:rsidRPr="00A13CD4">
        <w:rPr>
          <w:rFonts w:cs="Arial"/>
        </w:rPr>
        <w:t>Developing and maintaining effective working relationships and empathy in dealings with colleagues and patients/clients as well as external stakeholders.</w:t>
      </w:r>
    </w:p>
    <w:p w14:paraId="7200D28E" w14:textId="77777777" w:rsidR="00A13CD4" w:rsidRPr="00CE7D6A" w:rsidRDefault="00A13CD4" w:rsidP="00A13CD4">
      <w:pPr>
        <w:pStyle w:val="BodyText"/>
        <w:spacing w:line="240" w:lineRule="auto"/>
        <w:rPr>
          <w:rFonts w:cs="Arial"/>
          <w:sz w:val="2"/>
          <w:szCs w:val="2"/>
        </w:rPr>
      </w:pPr>
    </w:p>
    <w:p w14:paraId="13DF2A5A" w14:textId="77777777" w:rsidR="007003DE" w:rsidRPr="00A13CD4" w:rsidRDefault="007003DE" w:rsidP="00A13CD4">
      <w:pPr>
        <w:spacing w:before="20" w:after="20" w:line="276" w:lineRule="auto"/>
        <w:rPr>
          <w:rFonts w:cs="Arial"/>
          <w:b/>
          <w:color w:val="003366"/>
        </w:rPr>
      </w:pPr>
      <w:r w:rsidRPr="00A13CD4">
        <w:rPr>
          <w:rFonts w:cs="Arial"/>
          <w:b/>
          <w:color w:val="003366"/>
        </w:rPr>
        <w:t>As a Health Advocate you are responsible for:</w:t>
      </w:r>
    </w:p>
    <w:p w14:paraId="73687CE2" w14:textId="77777777" w:rsidR="007003DE" w:rsidRPr="00A13CD4" w:rsidRDefault="007003DE" w:rsidP="00A13CD4">
      <w:pPr>
        <w:pStyle w:val="BodyText"/>
        <w:numPr>
          <w:ilvl w:val="0"/>
          <w:numId w:val="20"/>
        </w:numPr>
        <w:spacing w:line="240" w:lineRule="auto"/>
        <w:rPr>
          <w:rFonts w:cs="Arial"/>
        </w:rPr>
      </w:pPr>
      <w:r w:rsidRPr="00A13CD4">
        <w:rPr>
          <w:rFonts w:cs="Arial"/>
        </w:rPr>
        <w:t>Assisting to identify future trends and contributing to / undertaking planning for the health service. Ensure that the hospital direction, policies and procedures for the speciality comply with the Townsville HHS strategic plans.</w:t>
      </w:r>
    </w:p>
    <w:p w14:paraId="0A8BE12B" w14:textId="77777777" w:rsidR="007003DE" w:rsidRPr="00A13CD4" w:rsidRDefault="007003DE" w:rsidP="00A13CD4">
      <w:pPr>
        <w:pStyle w:val="BodyText"/>
        <w:numPr>
          <w:ilvl w:val="0"/>
          <w:numId w:val="20"/>
        </w:numPr>
        <w:spacing w:line="240" w:lineRule="auto"/>
        <w:rPr>
          <w:rFonts w:cs="Arial"/>
        </w:rPr>
      </w:pPr>
      <w:r w:rsidRPr="00A13CD4">
        <w:rPr>
          <w:rFonts w:cs="Arial"/>
        </w:rPr>
        <w:t>Actively engaging in technology assessment and systems improvement initiatives within your SoCP.</w:t>
      </w:r>
    </w:p>
    <w:p w14:paraId="3349D3DD" w14:textId="77777777" w:rsidR="007003DE" w:rsidRPr="00A13CD4" w:rsidRDefault="007003DE" w:rsidP="00A13CD4">
      <w:pPr>
        <w:pStyle w:val="BodyText"/>
        <w:numPr>
          <w:ilvl w:val="0"/>
          <w:numId w:val="20"/>
        </w:numPr>
        <w:spacing w:line="240" w:lineRule="auto"/>
        <w:rPr>
          <w:rFonts w:cs="Arial"/>
        </w:rPr>
      </w:pPr>
      <w:r w:rsidRPr="00A13CD4">
        <w:rPr>
          <w:rFonts w:cs="Arial"/>
        </w:rPr>
        <w:t>Being a patient advocate and engaging positively with patients and their carers.</w:t>
      </w:r>
    </w:p>
    <w:p w14:paraId="32518354" w14:textId="77777777" w:rsidR="007003DE" w:rsidRPr="00A13CD4" w:rsidRDefault="007003DE" w:rsidP="00A13CD4">
      <w:pPr>
        <w:pStyle w:val="BodyText"/>
        <w:numPr>
          <w:ilvl w:val="0"/>
          <w:numId w:val="20"/>
        </w:numPr>
        <w:spacing w:line="240" w:lineRule="auto"/>
        <w:rPr>
          <w:rFonts w:cs="Arial"/>
        </w:rPr>
      </w:pPr>
      <w:r w:rsidRPr="00A13CD4">
        <w:rPr>
          <w:rFonts w:cs="Arial"/>
        </w:rPr>
        <w:t>Provide information, strategies and expertise in the areas of speciality in contribution to the Townsville HHS and intra-regional development of these services.</w:t>
      </w:r>
    </w:p>
    <w:p w14:paraId="12627A0E" w14:textId="77777777" w:rsidR="00AA751D" w:rsidRPr="00D04923" w:rsidRDefault="00AA751D" w:rsidP="00D04923">
      <w:pPr>
        <w:spacing w:before="240" w:after="120"/>
        <w:rPr>
          <w:i/>
          <w:color w:val="00A1DE"/>
          <w:szCs w:val="20"/>
        </w:rPr>
      </w:pPr>
      <w:r>
        <w:rPr>
          <w:i/>
          <w:color w:val="00A1DE"/>
          <w:szCs w:val="20"/>
        </w:rPr>
        <w:t>Additional:</w:t>
      </w:r>
    </w:p>
    <w:p w14:paraId="66F11378" w14:textId="77777777" w:rsidR="00AA751D" w:rsidRPr="00AA751D" w:rsidRDefault="00AA751D" w:rsidP="00D04923">
      <w:pPr>
        <w:pStyle w:val="BodyText"/>
        <w:numPr>
          <w:ilvl w:val="0"/>
          <w:numId w:val="12"/>
        </w:numPr>
        <w:spacing w:line="240" w:lineRule="auto"/>
        <w:rPr>
          <w:lang w:eastAsia="en-AU"/>
        </w:rPr>
      </w:pPr>
      <w:r w:rsidRPr="00AA751D">
        <w:rPr>
          <w:lang w:eastAsia="en-AU"/>
        </w:rPr>
        <w:t xml:space="preserve">Fulfil the responsibilities of this role primarily in accordance with the Townsville Hospital and Health Service (HHS) core values, as outlined below, and in accordance with the </w:t>
      </w:r>
      <w:hyperlink r:id="rId8" w:history="1">
        <w:r w:rsidRPr="00CC4416">
          <w:rPr>
            <w:rStyle w:val="Hyperlink"/>
          </w:rPr>
          <w:t>values outlined for the public service</w:t>
        </w:r>
      </w:hyperlink>
      <w:r w:rsidRPr="00AA751D">
        <w:rPr>
          <w:lang w:eastAsia="en-AU"/>
        </w:rPr>
        <w:t xml:space="preserve"> with the Queensland Government.</w:t>
      </w:r>
    </w:p>
    <w:p w14:paraId="4984DF20" w14:textId="77777777" w:rsidR="00AA751D" w:rsidRPr="00AA751D" w:rsidRDefault="00AA751D" w:rsidP="00D04923">
      <w:pPr>
        <w:pStyle w:val="BodyText"/>
        <w:numPr>
          <w:ilvl w:val="0"/>
          <w:numId w:val="12"/>
        </w:numPr>
        <w:spacing w:line="240" w:lineRule="auto"/>
        <w:rPr>
          <w:lang w:eastAsia="en-AU"/>
        </w:rPr>
      </w:pPr>
      <w:r w:rsidRPr="00AA751D">
        <w:rPr>
          <w:lang w:eastAsia="en-AU"/>
        </w:rPr>
        <w:t>Ensure that service standards, safety and quality are maintained through adherence to defined service quality standards and relevant occupational health and safety policies, procedures and work practices.</w:t>
      </w:r>
    </w:p>
    <w:p w14:paraId="0970A41F" w14:textId="5CBF9B57" w:rsidR="00AA751D" w:rsidRPr="00AA751D" w:rsidRDefault="005811D1" w:rsidP="00D04923">
      <w:pPr>
        <w:pStyle w:val="BodyText"/>
        <w:numPr>
          <w:ilvl w:val="0"/>
          <w:numId w:val="12"/>
        </w:numPr>
        <w:spacing w:line="240" w:lineRule="auto"/>
        <w:rPr>
          <w:lang w:eastAsia="en-AU"/>
        </w:rPr>
      </w:pPr>
      <w:r w:rsidRPr="005811D1">
        <w:rPr>
          <w:lang w:eastAsia="en-AU"/>
        </w:rPr>
        <w:t>Implement and monitor the organisation's quality standards, occupational health and safety policies, procedures and programs and provide clinical governance in the relevant work area</w:t>
      </w:r>
      <w:r>
        <w:rPr>
          <w:lang w:eastAsia="en-AU"/>
        </w:rPr>
        <w:t>.</w:t>
      </w:r>
      <w:r w:rsidRPr="005811D1">
        <w:rPr>
          <w:lang w:eastAsia="en-AU"/>
        </w:rPr>
        <w:t xml:space="preserve"> </w:t>
      </w:r>
    </w:p>
    <w:p w14:paraId="4154F667" w14:textId="77777777" w:rsidR="00AA751D" w:rsidRPr="00AA751D" w:rsidRDefault="00AA751D" w:rsidP="00D04923">
      <w:pPr>
        <w:pStyle w:val="BodyText"/>
        <w:numPr>
          <w:ilvl w:val="0"/>
          <w:numId w:val="12"/>
        </w:numPr>
        <w:spacing w:line="240" w:lineRule="auto"/>
        <w:rPr>
          <w:lang w:eastAsia="en-AU"/>
        </w:rPr>
      </w:pPr>
      <w:r w:rsidRPr="00AA751D">
        <w:rPr>
          <w:lang w:eastAsia="en-AU"/>
        </w:rPr>
        <w:t>Some roles within Queensland Health are designated as Vaccination Preventable Disease (VPD) risk roles.</w:t>
      </w:r>
    </w:p>
    <w:p w14:paraId="737DAFA5" w14:textId="3DB73644" w:rsidR="00AA751D" w:rsidRPr="00AA751D" w:rsidRDefault="00AA751D" w:rsidP="00D04923">
      <w:pPr>
        <w:pStyle w:val="BodyText"/>
        <w:spacing w:line="240" w:lineRule="auto"/>
        <w:ind w:left="360"/>
        <w:rPr>
          <w:lang w:eastAsia="en-AU"/>
        </w:rPr>
      </w:pPr>
      <w:r w:rsidRPr="00AA751D">
        <w:rPr>
          <w:b/>
          <w:lang w:eastAsia="en-AU"/>
        </w:rPr>
        <w:t>This is a VPD risk role.</w:t>
      </w:r>
      <w:r w:rsidRPr="00AA751D">
        <w:rPr>
          <w:lang w:eastAsia="en-AU"/>
        </w:rPr>
        <w:t xml:space="preserve"> </w:t>
      </w:r>
    </w:p>
    <w:p w14:paraId="1B04ED9A" w14:textId="53F2B17E" w:rsidR="009E2F07" w:rsidRPr="00CC6337" w:rsidRDefault="009E2F07" w:rsidP="00CC6337">
      <w:pPr>
        <w:pStyle w:val="Heading1"/>
        <w:spacing w:before="240" w:after="120"/>
        <w:rPr>
          <w:sz w:val="24"/>
          <w:szCs w:val="24"/>
        </w:rPr>
      </w:pPr>
      <w:r w:rsidRPr="00D04923">
        <w:rPr>
          <w:sz w:val="24"/>
          <w:szCs w:val="24"/>
        </w:rPr>
        <w:t xml:space="preserve">Work Health and Safety </w:t>
      </w:r>
    </w:p>
    <w:p w14:paraId="271BE658" w14:textId="77777777" w:rsidR="009E2F07" w:rsidRPr="002B5E06" w:rsidRDefault="009E2F07" w:rsidP="00D04923">
      <w:pPr>
        <w:spacing w:before="120" w:after="120"/>
        <w:rPr>
          <w:szCs w:val="20"/>
        </w:rPr>
      </w:pPr>
      <w:r w:rsidRPr="002B5E06">
        <w:rPr>
          <w:szCs w:val="20"/>
        </w:rPr>
        <w:t xml:space="preserve">Townsville HHS is committed to providing a safe workplace for all employees. This commitment includes a dedicated </w:t>
      </w:r>
      <w:r w:rsidRPr="006A3087">
        <w:rPr>
          <w:i/>
          <w:szCs w:val="20"/>
        </w:rPr>
        <w:t>People Focussed Safety</w:t>
      </w:r>
      <w:r w:rsidRPr="002B5E06">
        <w:rPr>
          <w:szCs w:val="20"/>
        </w:rPr>
        <w:t xml:space="preserve"> culture. </w:t>
      </w:r>
    </w:p>
    <w:p w14:paraId="746076B0" w14:textId="77777777" w:rsidR="009E2F07" w:rsidRPr="002B5E06" w:rsidRDefault="009E2F07" w:rsidP="00D04923">
      <w:pPr>
        <w:spacing w:before="120" w:after="120"/>
        <w:rPr>
          <w:szCs w:val="20"/>
        </w:rPr>
      </w:pPr>
      <w:r w:rsidRPr="002B5E06">
        <w:rPr>
          <w:szCs w:val="20"/>
        </w:rPr>
        <w:t xml:space="preserve">A </w:t>
      </w:r>
      <w:r w:rsidRPr="006A3087">
        <w:rPr>
          <w:i/>
          <w:szCs w:val="20"/>
        </w:rPr>
        <w:t>People Focussed Safety</w:t>
      </w:r>
      <w:r w:rsidRPr="002B5E06">
        <w:rPr>
          <w:szCs w:val="20"/>
        </w:rPr>
        <w:t xml:space="preserve"> culture commits to the health, safety and wellbeing of staff, volunteers and other persons, through the provision of a dynamic and comprehensive Health and Safety Management System (HSMS). The HSMS provides for proactive safety initiatives, early injury management practices with a strong focus on a safe and durable return to work. </w:t>
      </w:r>
    </w:p>
    <w:p w14:paraId="33B62B09" w14:textId="77777777" w:rsidR="009E2F07" w:rsidRPr="002B5E06" w:rsidRDefault="009E2F07" w:rsidP="00D04923">
      <w:pPr>
        <w:spacing w:before="120" w:after="120"/>
        <w:rPr>
          <w:szCs w:val="20"/>
        </w:rPr>
      </w:pPr>
      <w:r w:rsidRPr="002B5E06">
        <w:rPr>
          <w:szCs w:val="20"/>
        </w:rPr>
        <w:t xml:space="preserve">The provision of a Health and Safety environment within Townsville </w:t>
      </w:r>
      <w:r>
        <w:rPr>
          <w:szCs w:val="20"/>
        </w:rPr>
        <w:t>HHS</w:t>
      </w:r>
      <w:r w:rsidRPr="002B5E06">
        <w:rPr>
          <w:szCs w:val="20"/>
        </w:rPr>
        <w:t xml:space="preserve"> is everyone’s responsibility.</w:t>
      </w:r>
    </w:p>
    <w:p w14:paraId="6E9DBDBA" w14:textId="77777777" w:rsidR="009E2F07" w:rsidRPr="00CC6337" w:rsidRDefault="009E2F07" w:rsidP="00CC6337">
      <w:pPr>
        <w:pStyle w:val="Heading1"/>
        <w:spacing w:before="240" w:after="120"/>
        <w:rPr>
          <w:sz w:val="24"/>
          <w:szCs w:val="24"/>
        </w:rPr>
      </w:pPr>
      <w:r w:rsidRPr="00D04923">
        <w:rPr>
          <w:sz w:val="24"/>
          <w:szCs w:val="24"/>
        </w:rPr>
        <w:t>Safety and Quality</w:t>
      </w:r>
    </w:p>
    <w:p w14:paraId="56A7BE5E" w14:textId="1827C5D5" w:rsidR="008C110A" w:rsidRDefault="008C110A" w:rsidP="009E376F">
      <w:pPr>
        <w:spacing w:before="120" w:after="120"/>
        <w:rPr>
          <w:i/>
          <w:iCs/>
        </w:rPr>
      </w:pPr>
      <w:bookmarkStart w:id="4" w:name="_Hlk110602997"/>
      <w:r>
        <w:t xml:space="preserve">Relevant to the position, participate in the ongoing education, implementation, monitoring and evaluation of safety and quality initiatives set by </w:t>
      </w:r>
      <w:hyperlink r:id="rId9" w:history="1">
        <w:r>
          <w:rPr>
            <w:rStyle w:val="Hyperlink"/>
            <w:i/>
            <w:iCs/>
          </w:rPr>
          <w:t>The Australian Commission on Safety and Quality in Health Care</w:t>
        </w:r>
      </w:hyperlink>
      <w:r>
        <w:t xml:space="preserve"> to achieve a safe high-quality and sustainable health system, including compliance with the </w:t>
      </w:r>
      <w:r>
        <w:rPr>
          <w:i/>
          <w:iCs/>
        </w:rPr>
        <w:t>National Safety and Quality Health Services Standards.</w:t>
      </w:r>
      <w:r w:rsidR="0050261F">
        <w:rPr>
          <w:i/>
          <w:iCs/>
        </w:rPr>
        <w:t xml:space="preserve"> </w:t>
      </w:r>
    </w:p>
    <w:bookmarkEnd w:id="4"/>
    <w:p w14:paraId="57F0AEBF" w14:textId="1B9A6D4B" w:rsidR="009E2F07" w:rsidRDefault="009E2F07" w:rsidP="00D04923">
      <w:pPr>
        <w:autoSpaceDE w:val="0"/>
        <w:autoSpaceDN w:val="0"/>
        <w:adjustRightInd w:val="0"/>
        <w:spacing w:before="120" w:after="120"/>
        <w:rPr>
          <w:b/>
          <w:i/>
          <w:szCs w:val="20"/>
        </w:rPr>
      </w:pPr>
      <w:r w:rsidRPr="002B5E06">
        <w:rPr>
          <w:szCs w:val="20"/>
        </w:rPr>
        <w:t xml:space="preserve">For more information in regards to Work Health and Safety Accountabilities within the Townsville </w:t>
      </w:r>
      <w:r>
        <w:rPr>
          <w:szCs w:val="20"/>
        </w:rPr>
        <w:t>HHS</w:t>
      </w:r>
      <w:r w:rsidRPr="002B5E06">
        <w:rPr>
          <w:szCs w:val="20"/>
        </w:rPr>
        <w:t xml:space="preserve"> please review </w:t>
      </w:r>
      <w:hyperlink r:id="rId10" w:history="1">
        <w:r w:rsidRPr="00CC4416">
          <w:rPr>
            <w:rStyle w:val="Hyperlink"/>
            <w:i/>
            <w:iCs/>
          </w:rPr>
          <w:t>Workplace Health and Safety Act 2011</w:t>
        </w:r>
      </w:hyperlink>
      <w:r w:rsidRPr="00CC4416">
        <w:rPr>
          <w:rStyle w:val="Hyperlink"/>
          <w:i/>
          <w:iCs/>
        </w:rPr>
        <w:t xml:space="preserve"> </w:t>
      </w:r>
      <w:r w:rsidRPr="005811D1">
        <w:rPr>
          <w:rStyle w:val="Hyperlink"/>
          <w:i/>
          <w:color w:val="000000"/>
          <w:szCs w:val="20"/>
          <w:u w:val="none"/>
        </w:rPr>
        <w:t xml:space="preserve">- </w:t>
      </w:r>
      <w:r w:rsidRPr="002B5E06">
        <w:rPr>
          <w:b/>
          <w:i/>
          <w:szCs w:val="20"/>
        </w:rPr>
        <w:t>Part 2</w:t>
      </w:r>
      <w:r>
        <w:rPr>
          <w:b/>
          <w:i/>
          <w:szCs w:val="20"/>
        </w:rPr>
        <w:t>,</w:t>
      </w:r>
      <w:r w:rsidRPr="002B5E06">
        <w:rPr>
          <w:b/>
          <w:i/>
          <w:szCs w:val="20"/>
        </w:rPr>
        <w:t xml:space="preserve"> Health and Safety Duties.</w:t>
      </w:r>
      <w:r>
        <w:rPr>
          <w:b/>
          <w:i/>
          <w:szCs w:val="20"/>
        </w:rPr>
        <w:t xml:space="preserve"> </w:t>
      </w:r>
    </w:p>
    <w:p w14:paraId="476CBEBC" w14:textId="3E736E7B" w:rsidR="00B23013" w:rsidRPr="00CC6337" w:rsidRDefault="00B23013" w:rsidP="00CC6337">
      <w:pPr>
        <w:pStyle w:val="Heading1"/>
        <w:spacing w:before="240" w:after="120"/>
        <w:rPr>
          <w:sz w:val="24"/>
          <w:szCs w:val="24"/>
        </w:rPr>
      </w:pPr>
      <w:bookmarkStart w:id="5" w:name="_Hlk78206119"/>
      <w:bookmarkStart w:id="6" w:name="_Hlk87019167"/>
      <w:r w:rsidRPr="00D04923">
        <w:rPr>
          <w:sz w:val="24"/>
          <w:szCs w:val="24"/>
        </w:rPr>
        <w:lastRenderedPageBreak/>
        <w:t>Mandatory qualifications/ professional registration/ other requirements</w:t>
      </w:r>
    </w:p>
    <w:p w14:paraId="364C81EE" w14:textId="77777777" w:rsidR="00A13CD4" w:rsidRDefault="00A13CD4" w:rsidP="00A13CD4">
      <w:pPr>
        <w:pStyle w:val="BodyText"/>
        <w:numPr>
          <w:ilvl w:val="0"/>
          <w:numId w:val="14"/>
        </w:numPr>
        <w:spacing w:line="240" w:lineRule="auto"/>
      </w:pPr>
      <w:bookmarkStart w:id="7" w:name="_Hlk55994313"/>
      <w:r>
        <w:t>Qualified as a medical practitioner, qualifications in speciality areas and current registration and / or eligible for registration as a paediatric specialist with the Medical Board of Australia.</w:t>
      </w:r>
    </w:p>
    <w:p w14:paraId="30216529" w14:textId="32BABBD3" w:rsidR="00A13CD4" w:rsidRDefault="00A13CD4" w:rsidP="00A13CD4">
      <w:pPr>
        <w:pStyle w:val="BodyText"/>
        <w:numPr>
          <w:ilvl w:val="0"/>
          <w:numId w:val="14"/>
        </w:numPr>
        <w:spacing w:line="240" w:lineRule="auto"/>
      </w:pPr>
      <w:r>
        <w:t xml:space="preserve">Fellowship of the Royal Australasian College of </w:t>
      </w:r>
      <w:r w:rsidRPr="00955424">
        <w:t xml:space="preserve">Physicians with </w:t>
      </w:r>
      <w:r w:rsidR="007143E4" w:rsidRPr="00955424">
        <w:t>Paediatric Endocrinology.</w:t>
      </w:r>
      <w:r>
        <w:t xml:space="preserve">  </w:t>
      </w:r>
    </w:p>
    <w:p w14:paraId="0C32A206" w14:textId="77777777" w:rsidR="00A13CD4" w:rsidRDefault="00A13CD4" w:rsidP="00A13CD4">
      <w:pPr>
        <w:pStyle w:val="BodyText"/>
        <w:numPr>
          <w:ilvl w:val="0"/>
          <w:numId w:val="14"/>
        </w:numPr>
        <w:spacing w:line="240" w:lineRule="auto"/>
      </w:pPr>
      <w:r>
        <w:t>Appointment to this position requires proof of qualification and, if applicable, registration or membership with the appropriate registration authority or association. Certified copies of the required information must be provided to the appropriate supervisor/manager, prior to the commencement of clinical duties.</w:t>
      </w:r>
    </w:p>
    <w:p w14:paraId="0D7E88A4" w14:textId="77777777" w:rsidR="00A13CD4" w:rsidRDefault="00A13CD4" w:rsidP="00A13CD4">
      <w:pPr>
        <w:pStyle w:val="BodyText"/>
        <w:numPr>
          <w:ilvl w:val="0"/>
          <w:numId w:val="14"/>
        </w:numPr>
        <w:spacing w:line="240" w:lineRule="auto"/>
      </w:pPr>
      <w:r>
        <w:t xml:space="preserve">All applicants must be awarded Scope of Clinical Practice (SoCP) by the Townsville HHS Credentialing and SoCP committee.  All appointments are subject to maintenance of SoCP within the CSCF for the facilities in which clinical work is to be undertaken.  </w:t>
      </w:r>
    </w:p>
    <w:p w14:paraId="4A4CA17E" w14:textId="77777777" w:rsidR="00A13CD4" w:rsidRDefault="00A13CD4" w:rsidP="00A13CD4">
      <w:pPr>
        <w:pStyle w:val="BodyText"/>
        <w:numPr>
          <w:ilvl w:val="0"/>
          <w:numId w:val="14"/>
        </w:numPr>
        <w:spacing w:line="240" w:lineRule="auto"/>
      </w:pPr>
      <w:r>
        <w:t>This position requires the incumbent to operate a class C motor vehicle and an appropriate license endorsement to operate this vehicle is required. Proof of this endorsement must be provided prior to the commencement of duty.</w:t>
      </w:r>
    </w:p>
    <w:p w14:paraId="726E504F" w14:textId="77777777" w:rsidR="00AA74A3" w:rsidRPr="00DA2CB0" w:rsidRDefault="00AA74A3" w:rsidP="00AA74A3">
      <w:pPr>
        <w:numPr>
          <w:ilvl w:val="0"/>
          <w:numId w:val="14"/>
        </w:numPr>
        <w:spacing w:before="120" w:after="120"/>
        <w:rPr>
          <w:rFonts w:cs="Arial"/>
          <w:noProof/>
          <w:color w:val="000000"/>
          <w:szCs w:val="20"/>
        </w:rPr>
      </w:pPr>
      <w:r w:rsidRPr="00DA2CB0">
        <w:rPr>
          <w:rFonts w:cs="Arial"/>
          <w:b/>
          <w:noProof/>
          <w:color w:val="000000"/>
          <w:szCs w:val="20"/>
        </w:rPr>
        <w:t>Vaccine Preventable Disease (VPD)</w:t>
      </w:r>
      <w:r w:rsidRPr="00FB7B3F">
        <w:rPr>
          <w:rFonts w:cs="Arial"/>
          <w:b/>
          <w:bCs/>
          <w:noProof/>
          <w:color w:val="000000"/>
          <w:szCs w:val="20"/>
        </w:rPr>
        <w:t>:</w:t>
      </w:r>
      <w:r w:rsidRPr="00DA2CB0">
        <w:rPr>
          <w:rFonts w:cs="Arial"/>
          <w:noProof/>
          <w:color w:val="000000"/>
          <w:szCs w:val="20"/>
        </w:rPr>
        <w:t xml:space="preserve"> </w:t>
      </w:r>
      <w:r>
        <w:t>Health Care Workers in Queensland Health whose occupation poses a potential risk of exposure to blood or body fluids are required to provide evidence of vaccinations or proof that they are not susceptible</w:t>
      </w:r>
      <w:r w:rsidRPr="00DA2CB0">
        <w:rPr>
          <w:rFonts w:cs="Arial"/>
          <w:color w:val="000000"/>
          <w:szCs w:val="20"/>
        </w:rPr>
        <w:t xml:space="preserve"> (due to prior exposure to the disease and therefore have natural immunity) </w:t>
      </w:r>
      <w:r>
        <w:t>to the following VPD's Hepatitis B, Measles, Mumps, Rubella, Varicella and Pertussis (diphtheria, tetanus and pertussis containing vaccine) according to the Queensland Health Policy. </w:t>
      </w:r>
    </w:p>
    <w:bookmarkEnd w:id="5"/>
    <w:bookmarkEnd w:id="6"/>
    <w:bookmarkEnd w:id="7"/>
    <w:p w14:paraId="0280A95A" w14:textId="62EBA153" w:rsidR="009E2F07" w:rsidRPr="00CC6337" w:rsidRDefault="009E2F07" w:rsidP="00CC6337">
      <w:pPr>
        <w:pStyle w:val="Heading1"/>
        <w:spacing w:before="240" w:after="120"/>
        <w:rPr>
          <w:sz w:val="24"/>
          <w:szCs w:val="24"/>
        </w:rPr>
      </w:pPr>
      <w:r w:rsidRPr="00D04923">
        <w:rPr>
          <w:sz w:val="24"/>
          <w:szCs w:val="24"/>
        </w:rPr>
        <w:t>How you will be assessed</w:t>
      </w:r>
    </w:p>
    <w:p w14:paraId="40FD56E6" w14:textId="77777777" w:rsidR="00A13CD4" w:rsidRDefault="00A13CD4" w:rsidP="00A13CD4">
      <w:pPr>
        <w:spacing w:before="120"/>
        <w:rPr>
          <w:rFonts w:cs="Arial"/>
          <w:bCs/>
          <w:szCs w:val="20"/>
        </w:rPr>
      </w:pPr>
      <w:r>
        <w:rPr>
          <w:rFonts w:cs="Arial"/>
          <w:bCs/>
          <w:szCs w:val="20"/>
        </w:rPr>
        <w:t xml:space="preserve">You will be assessed on your ability to demonstrate the following key requirements, knowledge and experience which is outlined under ‘The opportunity’ and ‘The role’.  </w:t>
      </w:r>
    </w:p>
    <w:p w14:paraId="51FB8A26" w14:textId="77777777" w:rsidR="00A13CD4" w:rsidRPr="00A13CD4" w:rsidRDefault="00A13CD4" w:rsidP="00A13CD4">
      <w:pPr>
        <w:spacing w:before="120"/>
        <w:rPr>
          <w:rFonts w:cs="Arial"/>
          <w:bCs/>
          <w:i/>
          <w:iCs/>
          <w:szCs w:val="20"/>
        </w:rPr>
      </w:pPr>
      <w:r w:rsidRPr="00A13CD4">
        <w:rPr>
          <w:rFonts w:cs="Arial"/>
          <w:bCs/>
          <w:i/>
          <w:iCs/>
          <w:szCs w:val="20"/>
        </w:rPr>
        <w:t xml:space="preserve">The applicant will be assessed on: </w:t>
      </w:r>
    </w:p>
    <w:p w14:paraId="39EFB06B" w14:textId="5C300F38" w:rsidR="00A13CD4" w:rsidRPr="00955424" w:rsidRDefault="00A13CD4" w:rsidP="00A13CD4">
      <w:pPr>
        <w:pStyle w:val="BodyText"/>
        <w:numPr>
          <w:ilvl w:val="0"/>
          <w:numId w:val="20"/>
        </w:numPr>
        <w:spacing w:line="240" w:lineRule="auto"/>
        <w:rPr>
          <w:rFonts w:cs="Arial"/>
        </w:rPr>
      </w:pPr>
      <w:r w:rsidRPr="00955424">
        <w:rPr>
          <w:rFonts w:cs="Arial"/>
        </w:rPr>
        <w:t>Experience and demonstrated ability in managing paediatric</w:t>
      </w:r>
      <w:r w:rsidR="007143E4" w:rsidRPr="00955424">
        <w:rPr>
          <w:rFonts w:cs="Arial"/>
        </w:rPr>
        <w:t xml:space="preserve"> </w:t>
      </w:r>
      <w:r w:rsidR="00FA64D9">
        <w:rPr>
          <w:rFonts w:cs="Arial"/>
        </w:rPr>
        <w:t>e</w:t>
      </w:r>
      <w:r w:rsidR="007143E4" w:rsidRPr="00955424">
        <w:rPr>
          <w:rFonts w:cs="Arial"/>
        </w:rPr>
        <w:t xml:space="preserve">ndocrinology patients. </w:t>
      </w:r>
      <w:r w:rsidRPr="00955424">
        <w:rPr>
          <w:rFonts w:cs="Arial"/>
        </w:rPr>
        <w:t xml:space="preserve"> </w:t>
      </w:r>
      <w:r w:rsidR="007143E4" w:rsidRPr="00955424">
        <w:rPr>
          <w:rFonts w:cs="Arial"/>
        </w:rPr>
        <w:t xml:space="preserve">Experience or ability to work in a regional centre. </w:t>
      </w:r>
    </w:p>
    <w:p w14:paraId="3B4FBFD4" w14:textId="4292A7B7" w:rsidR="00A13CD4" w:rsidRPr="00CE7D6A" w:rsidRDefault="00A13CD4" w:rsidP="00CE7D6A">
      <w:pPr>
        <w:pStyle w:val="BodyText"/>
        <w:numPr>
          <w:ilvl w:val="0"/>
          <w:numId w:val="20"/>
        </w:numPr>
        <w:spacing w:before="0" w:after="0" w:line="240" w:lineRule="auto"/>
        <w:rPr>
          <w:rFonts w:cs="Arial"/>
          <w:bCs/>
          <w:szCs w:val="20"/>
        </w:rPr>
      </w:pPr>
      <w:r>
        <w:rPr>
          <w:rFonts w:cs="Arial"/>
        </w:rPr>
        <w:t>Experience and demonstrated ability in working well within a multidisciplinary team and in training and supervision of junior doctors.</w:t>
      </w:r>
    </w:p>
    <w:p w14:paraId="6132E67E" w14:textId="77777777" w:rsidR="00CE7D6A" w:rsidRPr="00CE7D6A" w:rsidRDefault="00CE7D6A" w:rsidP="00CE7D6A">
      <w:pPr>
        <w:pStyle w:val="BodyText"/>
        <w:spacing w:before="0" w:after="0" w:line="240" w:lineRule="auto"/>
        <w:rPr>
          <w:rFonts w:cs="Arial"/>
          <w:bCs/>
          <w:sz w:val="12"/>
          <w:szCs w:val="12"/>
        </w:rPr>
      </w:pPr>
    </w:p>
    <w:p w14:paraId="2E0C7453" w14:textId="77777777" w:rsidR="00CE7D6A" w:rsidRPr="00CE7D6A" w:rsidRDefault="00CE7D6A" w:rsidP="00CE7D6A">
      <w:pPr>
        <w:pStyle w:val="BodyText"/>
        <w:spacing w:before="0" w:after="0" w:line="240" w:lineRule="auto"/>
        <w:rPr>
          <w:rFonts w:cs="Arial"/>
          <w:bCs/>
          <w:sz w:val="2"/>
          <w:szCs w:val="2"/>
        </w:rPr>
      </w:pPr>
    </w:p>
    <w:p w14:paraId="7D7F0260" w14:textId="77777777" w:rsidR="00A13CD4" w:rsidRPr="00A13CD4" w:rsidRDefault="00A13CD4" w:rsidP="00CE7D6A">
      <w:pPr>
        <w:rPr>
          <w:rFonts w:cs="Arial"/>
          <w:bCs/>
          <w:i/>
          <w:iCs/>
          <w:szCs w:val="20"/>
        </w:rPr>
      </w:pPr>
      <w:r w:rsidRPr="00A13CD4">
        <w:rPr>
          <w:rFonts w:cs="Arial"/>
          <w:bCs/>
          <w:i/>
          <w:iCs/>
          <w:szCs w:val="20"/>
        </w:rPr>
        <w:t>The ideal applicant will be someone who has proven ability and can demonstrate they will:</w:t>
      </w:r>
    </w:p>
    <w:p w14:paraId="0C8B1F54" w14:textId="77777777" w:rsidR="00A13CD4" w:rsidRPr="00A13CD4" w:rsidRDefault="00A13CD4" w:rsidP="00A13CD4">
      <w:pPr>
        <w:pStyle w:val="BodyText"/>
        <w:numPr>
          <w:ilvl w:val="0"/>
          <w:numId w:val="20"/>
        </w:numPr>
        <w:spacing w:line="240" w:lineRule="auto"/>
        <w:rPr>
          <w:rFonts w:cs="Arial"/>
        </w:rPr>
      </w:pPr>
      <w:r w:rsidRPr="00A13CD4">
        <w:rPr>
          <w:rFonts w:cs="Arial"/>
        </w:rPr>
        <w:t>Provide quality health care to children in the care of our department.</w:t>
      </w:r>
    </w:p>
    <w:p w14:paraId="503D9622" w14:textId="77777777" w:rsidR="00A13CD4" w:rsidRPr="00A13CD4" w:rsidRDefault="00A13CD4" w:rsidP="00A13CD4">
      <w:pPr>
        <w:pStyle w:val="BodyText"/>
        <w:numPr>
          <w:ilvl w:val="0"/>
          <w:numId w:val="20"/>
        </w:numPr>
        <w:spacing w:line="240" w:lineRule="auto"/>
        <w:rPr>
          <w:rFonts w:cs="Arial"/>
        </w:rPr>
      </w:pPr>
      <w:r w:rsidRPr="00A13CD4">
        <w:rPr>
          <w:rFonts w:cs="Arial"/>
        </w:rPr>
        <w:t xml:space="preserve">Communicate effectively with patients, families, colleagues, and multidisciplinary staff to enable coordinated care for children.  </w:t>
      </w:r>
    </w:p>
    <w:p w14:paraId="65B56E2A" w14:textId="77777777" w:rsidR="00A13CD4" w:rsidRPr="00A13CD4" w:rsidRDefault="00A13CD4" w:rsidP="00A13CD4">
      <w:pPr>
        <w:pStyle w:val="BodyText"/>
        <w:numPr>
          <w:ilvl w:val="0"/>
          <w:numId w:val="20"/>
        </w:numPr>
        <w:spacing w:line="240" w:lineRule="auto"/>
        <w:rPr>
          <w:rFonts w:cs="Arial"/>
        </w:rPr>
      </w:pPr>
      <w:r w:rsidRPr="00A13CD4">
        <w:rPr>
          <w:rFonts w:cs="Arial"/>
        </w:rPr>
        <w:t>Ensure cultural safety in all actions and communications.</w:t>
      </w:r>
    </w:p>
    <w:p w14:paraId="7C503CF6" w14:textId="77777777" w:rsidR="00A13CD4" w:rsidRPr="00A13CD4" w:rsidRDefault="00A13CD4" w:rsidP="00A13CD4">
      <w:pPr>
        <w:pStyle w:val="BodyText"/>
        <w:numPr>
          <w:ilvl w:val="0"/>
          <w:numId w:val="20"/>
        </w:numPr>
        <w:spacing w:line="240" w:lineRule="auto"/>
        <w:rPr>
          <w:rFonts w:cs="Arial"/>
        </w:rPr>
      </w:pPr>
      <w:r w:rsidRPr="00A13CD4">
        <w:rPr>
          <w:rFonts w:cs="Arial"/>
        </w:rPr>
        <w:t xml:space="preserve">Support leadership in the governance of paediatric services at Townsville Hospital and Health Service </w:t>
      </w:r>
    </w:p>
    <w:p w14:paraId="2D3FA54D" w14:textId="77777777" w:rsidR="00A13CD4" w:rsidRPr="00A13CD4" w:rsidRDefault="00A13CD4" w:rsidP="00A13CD4">
      <w:pPr>
        <w:pStyle w:val="BodyText"/>
        <w:numPr>
          <w:ilvl w:val="0"/>
          <w:numId w:val="20"/>
        </w:numPr>
        <w:spacing w:line="240" w:lineRule="auto"/>
        <w:rPr>
          <w:rFonts w:cs="Arial"/>
        </w:rPr>
      </w:pPr>
      <w:r w:rsidRPr="00A13CD4">
        <w:rPr>
          <w:rFonts w:cs="Arial"/>
        </w:rPr>
        <w:t>Meet RACP requirements for supervision and contribution to a high quality and effective environment for paediatric training.</w:t>
      </w:r>
    </w:p>
    <w:p w14:paraId="7DB53F3B" w14:textId="20C2D381" w:rsidR="00A13CD4" w:rsidRPr="00A13CD4" w:rsidRDefault="00A13CD4" w:rsidP="00A13CD4">
      <w:pPr>
        <w:pStyle w:val="BodyText"/>
        <w:numPr>
          <w:ilvl w:val="0"/>
          <w:numId w:val="20"/>
        </w:numPr>
        <w:spacing w:line="240" w:lineRule="auto"/>
        <w:rPr>
          <w:rFonts w:cs="Arial"/>
        </w:rPr>
      </w:pPr>
      <w:r w:rsidRPr="00A13CD4">
        <w:rPr>
          <w:rFonts w:cs="Arial"/>
        </w:rPr>
        <w:t>Develop research and audits related to safety and quality and/or improvement of paediatric services.</w:t>
      </w:r>
    </w:p>
    <w:p w14:paraId="2D47A67B" w14:textId="77777777" w:rsidR="00A13CD4" w:rsidRPr="00A13CD4" w:rsidRDefault="00A13CD4" w:rsidP="00A13CD4">
      <w:pPr>
        <w:pStyle w:val="BodyText"/>
        <w:numPr>
          <w:ilvl w:val="0"/>
          <w:numId w:val="20"/>
        </w:numPr>
        <w:spacing w:line="240" w:lineRule="auto"/>
        <w:rPr>
          <w:rFonts w:cs="Arial"/>
        </w:rPr>
      </w:pPr>
      <w:r w:rsidRPr="00A13CD4">
        <w:rPr>
          <w:rFonts w:cs="Arial"/>
        </w:rPr>
        <w:t>Behave ethically and professionally in all aspects or work including attendance, communication, collaboration, and advocacy.</w:t>
      </w:r>
    </w:p>
    <w:p w14:paraId="30CA93D4" w14:textId="77777777" w:rsidR="00A13CD4" w:rsidRPr="00A13CD4" w:rsidRDefault="00A13CD4" w:rsidP="00A13CD4">
      <w:pPr>
        <w:pStyle w:val="BodyText"/>
        <w:numPr>
          <w:ilvl w:val="0"/>
          <w:numId w:val="20"/>
        </w:numPr>
        <w:spacing w:line="240" w:lineRule="auto"/>
        <w:rPr>
          <w:rFonts w:cs="Arial"/>
        </w:rPr>
      </w:pPr>
      <w:r w:rsidRPr="00A13CD4">
        <w:rPr>
          <w:rFonts w:cs="Arial"/>
        </w:rPr>
        <w:t>Maintain ongoing relevant professional development.</w:t>
      </w:r>
    </w:p>
    <w:p w14:paraId="159F933C" w14:textId="5729F0D7" w:rsidR="00B23013" w:rsidRPr="00CC6337" w:rsidRDefault="00B23013" w:rsidP="00CC6337">
      <w:pPr>
        <w:pStyle w:val="Heading1"/>
        <w:spacing w:before="240" w:after="120"/>
        <w:rPr>
          <w:sz w:val="24"/>
          <w:szCs w:val="24"/>
        </w:rPr>
      </w:pPr>
      <w:r w:rsidRPr="00D04923">
        <w:rPr>
          <w:sz w:val="24"/>
          <w:szCs w:val="24"/>
        </w:rPr>
        <w:t xml:space="preserve">Your </w:t>
      </w:r>
      <w:r w:rsidR="00DC7A8E">
        <w:rPr>
          <w:sz w:val="24"/>
          <w:szCs w:val="24"/>
        </w:rPr>
        <w:t>a</w:t>
      </w:r>
      <w:r w:rsidRPr="00D04923">
        <w:rPr>
          <w:sz w:val="24"/>
          <w:szCs w:val="24"/>
        </w:rPr>
        <w:t>pplication</w:t>
      </w:r>
    </w:p>
    <w:p w14:paraId="25E027DC" w14:textId="77777777" w:rsidR="00B23013" w:rsidRPr="00B23013" w:rsidRDefault="00B23013" w:rsidP="00D04923">
      <w:pPr>
        <w:spacing w:before="120" w:after="120"/>
        <w:rPr>
          <w:rFonts w:eastAsia="Times New Roman" w:cs="Arial"/>
          <w:bCs/>
          <w:szCs w:val="20"/>
          <w:lang w:eastAsia="en-AU"/>
        </w:rPr>
      </w:pPr>
      <w:r w:rsidRPr="00B23013">
        <w:rPr>
          <w:rFonts w:eastAsia="Times New Roman" w:cs="Arial"/>
          <w:bCs/>
          <w:szCs w:val="20"/>
          <w:lang w:eastAsia="en-AU"/>
        </w:rPr>
        <w:t>Please provide the following information to the panel to assess your suitability:</w:t>
      </w:r>
    </w:p>
    <w:p w14:paraId="2365EC34" w14:textId="77777777" w:rsidR="00B23013" w:rsidRPr="00B23013" w:rsidRDefault="00B23013" w:rsidP="00D04923">
      <w:pPr>
        <w:pStyle w:val="BodyText"/>
        <w:numPr>
          <w:ilvl w:val="0"/>
          <w:numId w:val="14"/>
        </w:numPr>
        <w:spacing w:line="240" w:lineRule="auto"/>
      </w:pPr>
      <w:r w:rsidRPr="00B23013">
        <w:t>Your current CV or resume, including referees. You must seek approval prior to nominating a person as a referee. Referees should have a thorough knowledge of your work performance and conduct, and it is preferable to include your current/immediate past supervisor. By providing the names and contact details of your referee/s you consent for these people to be contacted by the selection panel. If you do not wish for a referee to be contacted, please indicate this on your resume and contact the selection panel chair to discuss.</w:t>
      </w:r>
    </w:p>
    <w:p w14:paraId="18235318" w14:textId="5EFA57FE" w:rsidR="00B23013" w:rsidRDefault="00232628" w:rsidP="00D04923">
      <w:pPr>
        <w:pStyle w:val="BodyText"/>
        <w:numPr>
          <w:ilvl w:val="0"/>
          <w:numId w:val="14"/>
        </w:numPr>
        <w:spacing w:line="240" w:lineRule="auto"/>
      </w:pPr>
      <w:r>
        <w:t>A short response (maximum of two</w:t>
      </w:r>
      <w:r w:rsidR="00B23013" w:rsidRPr="00B23013">
        <w:t xml:space="preserve"> pages) on how your experience, abilities, knowledge and personal qualities are relevant for the role, </w:t>
      </w:r>
      <w:r w:rsidR="00757F57">
        <w:t xml:space="preserve">addressing </w:t>
      </w:r>
      <w:r w:rsidR="00B23013" w:rsidRPr="00B23013">
        <w:t>the key responsibilities and key attributes of the position.</w:t>
      </w:r>
    </w:p>
    <w:p w14:paraId="547B4699" w14:textId="77777777" w:rsidR="00B23013" w:rsidRPr="00B23013" w:rsidRDefault="00B23013" w:rsidP="00D04923">
      <w:pPr>
        <w:pStyle w:val="BodyText"/>
        <w:numPr>
          <w:ilvl w:val="0"/>
          <w:numId w:val="14"/>
        </w:numPr>
        <w:spacing w:line="240" w:lineRule="auto"/>
      </w:pPr>
      <w:r w:rsidRPr="00B23013">
        <w:t>Applications will remain current for 12 months after they have been submitted.</w:t>
      </w:r>
    </w:p>
    <w:p w14:paraId="1850325A" w14:textId="77777777" w:rsidR="00B23013" w:rsidRPr="00B23013" w:rsidRDefault="00B23013" w:rsidP="00D04923">
      <w:pPr>
        <w:pStyle w:val="BodyText"/>
        <w:numPr>
          <w:ilvl w:val="0"/>
          <w:numId w:val="14"/>
        </w:numPr>
        <w:spacing w:line="240" w:lineRule="auto"/>
      </w:pPr>
      <w:r w:rsidRPr="00B23013">
        <w:lastRenderedPageBreak/>
        <w:t xml:space="preserve">Future vacancies of a similar nature throughout the </w:t>
      </w:r>
      <w:smartTag w:uri="urn:schemas-microsoft-com:office:smarttags" w:element="place">
        <w:smartTag w:uri="urn:schemas-microsoft-com:office:smarttags" w:element="PlaceName">
          <w:r w:rsidRPr="00B23013">
            <w:t>Townsville</w:t>
          </w:r>
        </w:smartTag>
        <w:r w:rsidRPr="00B23013">
          <w:t xml:space="preserve"> </w:t>
        </w:r>
        <w:smartTag w:uri="urn:schemas-microsoft-com:office:smarttags" w:element="PlaceType">
          <w:r w:rsidRPr="00B23013">
            <w:t>Hospital</w:t>
          </w:r>
        </w:smartTag>
      </w:smartTag>
      <w:r w:rsidRPr="00B23013">
        <w:t xml:space="preserve"> and Health Service may also be filled through this recruitment process.</w:t>
      </w:r>
    </w:p>
    <w:p w14:paraId="57A86735" w14:textId="16938ACD" w:rsidR="00D43D3E" w:rsidRDefault="00B23013" w:rsidP="00D04923">
      <w:pPr>
        <w:pStyle w:val="BodyText"/>
        <w:spacing w:line="240" w:lineRule="auto"/>
      </w:pPr>
      <w:r>
        <w:t>Once completed, your application should be submitted online – visit</w:t>
      </w:r>
      <w:r w:rsidR="00BE5724">
        <w:t xml:space="preserve"> the</w:t>
      </w:r>
      <w:r>
        <w:t xml:space="preserve"> </w:t>
      </w:r>
      <w:hyperlink r:id="rId11" w:history="1">
        <w:r w:rsidR="00BE5724">
          <w:rPr>
            <w:rStyle w:val="Hyperlink"/>
          </w:rPr>
          <w:t>Smart Jobs and Careers website</w:t>
        </w:r>
      </w:hyperlink>
      <w:r>
        <w:t xml:space="preserve">. If you have </w:t>
      </w:r>
      <w:r w:rsidR="00005250">
        <w:t>difficulties,</w:t>
      </w:r>
      <w:r>
        <w:t xml:space="preserve"> please contact Recruitment Services on 1300 193 156. </w:t>
      </w:r>
    </w:p>
    <w:p w14:paraId="728C4527" w14:textId="77777777" w:rsidR="00935303" w:rsidRPr="00CC6337" w:rsidRDefault="00935303" w:rsidP="00CC6337">
      <w:pPr>
        <w:pStyle w:val="Heading1"/>
        <w:spacing w:before="240" w:after="120"/>
        <w:rPr>
          <w:sz w:val="24"/>
          <w:szCs w:val="24"/>
        </w:rPr>
      </w:pPr>
      <w:r w:rsidRPr="00D04923">
        <w:rPr>
          <w:sz w:val="24"/>
          <w:szCs w:val="24"/>
        </w:rPr>
        <w:t xml:space="preserve">About the Townsville Hospital and Health Service </w:t>
      </w:r>
    </w:p>
    <w:p w14:paraId="0BCE6AAE" w14:textId="2D83C7DB" w:rsidR="004B00B7" w:rsidRDefault="00935303" w:rsidP="00D04923">
      <w:pPr>
        <w:spacing w:before="120" w:after="120"/>
      </w:pPr>
      <w:r w:rsidRPr="00935303">
        <w:t xml:space="preserve">The Townsville Hospital and Health Service (HHS) is </w:t>
      </w:r>
      <w:r w:rsidR="004B00B7">
        <w:t>the public healthcare provider for more than 250,000 people across a geographic area of 150,000km</w:t>
      </w:r>
      <w:r w:rsidR="004B00B7" w:rsidRPr="00154509">
        <w:rPr>
          <w:vertAlign w:val="superscript"/>
        </w:rPr>
        <w:t>2</w:t>
      </w:r>
      <w:r w:rsidR="004B00B7">
        <w:t>.</w:t>
      </w:r>
    </w:p>
    <w:p w14:paraId="3396F952" w14:textId="227CB1A6" w:rsidR="004B00B7" w:rsidRDefault="004B00B7" w:rsidP="00D04923">
      <w:pPr>
        <w:spacing w:before="120" w:after="120"/>
      </w:pPr>
      <w:r>
        <w:t>We serve the local government areas of Townsville, Burdekin, Charters Towers, Flinders, Richmond, Hinchinbrook and Palm Island</w:t>
      </w:r>
      <w:r w:rsidR="00154509">
        <w:t>.</w:t>
      </w:r>
    </w:p>
    <w:p w14:paraId="4D637EB7" w14:textId="6953AE81" w:rsidR="004B00B7" w:rsidRDefault="004B00B7" w:rsidP="00D04923">
      <w:pPr>
        <w:spacing w:before="120" w:after="120"/>
      </w:pPr>
      <w:r>
        <w:t xml:space="preserve">In doing so, we operate 21 facilities: 19 hospitals and health centres and two residential aged care homes.  More than 6,600 staff work across our facilities, which is about one in every 17 working people, making us members of the communities we serve. </w:t>
      </w:r>
    </w:p>
    <w:p w14:paraId="4A5A684C" w14:textId="3CD237F8" w:rsidR="004B00B7" w:rsidRDefault="004B00B7" w:rsidP="00D04923">
      <w:pPr>
        <w:spacing w:before="120" w:after="120"/>
      </w:pPr>
      <w:r>
        <w:t>We provide a comprehensive range of services, fr</w:t>
      </w:r>
      <w:r w:rsidR="00D9169D">
        <w:t>o</w:t>
      </w:r>
      <w:r>
        <w:t xml:space="preserve">m primary care in remote locations, to highly specialised care at Townsville University Hospital.  This is the largest tertiary hospital in Northern Australia, providing specialist referral services for the 700,000 people living from Mackay to the Torres Strait, to the Northern Territory border. </w:t>
      </w:r>
    </w:p>
    <w:p w14:paraId="5FB59A36" w14:textId="080AFC26" w:rsidR="004B00B7" w:rsidRDefault="004B00B7" w:rsidP="00D04923">
      <w:pPr>
        <w:spacing w:before="120" w:after="120"/>
      </w:pPr>
      <w:r>
        <w:t xml:space="preserve">More than providing the healthcare of today, we are planning and innovating for the future.  Our staff and collaborators are advancing healthcare through impactful research. While as a major teaching hospital, we are training tomorrow’s doctors, nurses, midwives, allied health practitioners, and more. </w:t>
      </w:r>
    </w:p>
    <w:p w14:paraId="3CDDE08A" w14:textId="7D850507" w:rsidR="004B00B7" w:rsidRPr="009A606B" w:rsidRDefault="004B00B7" w:rsidP="00155828">
      <w:pPr>
        <w:pStyle w:val="Heading1"/>
        <w:spacing w:before="240" w:after="120"/>
        <w:rPr>
          <w:b w:val="0"/>
          <w:bCs/>
          <w:sz w:val="20"/>
          <w:szCs w:val="20"/>
        </w:rPr>
      </w:pPr>
      <w:r w:rsidRPr="009A606B">
        <w:rPr>
          <w:b w:val="0"/>
          <w:bCs/>
          <w:color w:val="000000" w:themeColor="text1"/>
          <w:sz w:val="20"/>
          <w:szCs w:val="20"/>
        </w:rPr>
        <w:t xml:space="preserve">Our vision is world-class healthcare for northern Queensland. The </w:t>
      </w:r>
      <w:hyperlink r:id="rId12" w:history="1">
        <w:r w:rsidR="00D707E5" w:rsidRPr="009A606B">
          <w:rPr>
            <w:rStyle w:val="Hyperlink"/>
            <w:b w:val="0"/>
            <w:bCs/>
            <w:sz w:val="20"/>
            <w:szCs w:val="20"/>
          </w:rPr>
          <w:t>Townsville Hospital and Health Service Strategic plan 2022-2026</w:t>
        </w:r>
      </w:hyperlink>
      <w:r w:rsidR="00D707E5" w:rsidRPr="009A606B">
        <w:rPr>
          <w:rStyle w:val="Hyperlink"/>
          <w:b w:val="0"/>
          <w:bCs/>
          <w:sz w:val="20"/>
          <w:szCs w:val="20"/>
        </w:rPr>
        <w:t xml:space="preserve"> </w:t>
      </w:r>
      <w:r w:rsidRPr="009A606B">
        <w:rPr>
          <w:b w:val="0"/>
          <w:bCs/>
          <w:color w:val="000000" w:themeColor="text1"/>
          <w:sz w:val="20"/>
          <w:szCs w:val="20"/>
        </w:rPr>
        <w:t xml:space="preserve">commits to this ambitious direction, outlines our strategic objectives and lists the measures we will use to know we have achieved them.  </w:t>
      </w:r>
    </w:p>
    <w:p w14:paraId="06865D60" w14:textId="77777777" w:rsidR="004B00B7" w:rsidRDefault="004B00B7" w:rsidP="00D04923">
      <w:pPr>
        <w:spacing w:before="120" w:after="120"/>
      </w:pPr>
    </w:p>
    <w:p w14:paraId="183A370A" w14:textId="43585CF3" w:rsidR="009E2F07" w:rsidRPr="005811D1" w:rsidRDefault="00D04923" w:rsidP="00D04923">
      <w:pPr>
        <w:spacing w:before="120" w:after="120"/>
        <w:ind w:left="1985" w:hanging="1985"/>
        <w:rPr>
          <w:rFonts w:eastAsia="Times New Roman"/>
          <w:b/>
          <w:color w:val="00A1DE" w:themeColor="background2"/>
          <w:sz w:val="24"/>
          <w:szCs w:val="24"/>
        </w:rPr>
      </w:pPr>
      <w:r>
        <w:rPr>
          <w:rFonts w:eastAsia="Times New Roman"/>
          <w:b/>
          <w:color w:val="003491"/>
          <w:sz w:val="24"/>
          <w:szCs w:val="24"/>
        </w:rPr>
        <w:t>Our Vision:</w:t>
      </w:r>
      <w:r>
        <w:rPr>
          <w:rFonts w:eastAsia="Times New Roman"/>
          <w:b/>
          <w:color w:val="003491"/>
          <w:sz w:val="24"/>
          <w:szCs w:val="24"/>
        </w:rPr>
        <w:tab/>
      </w:r>
      <w:r w:rsidR="00A5116C">
        <w:rPr>
          <w:rFonts w:eastAsia="Times New Roman"/>
          <w:b/>
          <w:color w:val="00A1DE" w:themeColor="background2"/>
          <w:sz w:val="24"/>
          <w:szCs w:val="24"/>
        </w:rPr>
        <w:t>World-class healthcare for northern Queensland</w:t>
      </w:r>
    </w:p>
    <w:p w14:paraId="0C5E36E1" w14:textId="36A54C78" w:rsidR="009E2F07" w:rsidRDefault="009E2F07" w:rsidP="00D04923">
      <w:pPr>
        <w:pStyle w:val="BodyText"/>
        <w:spacing w:line="240" w:lineRule="auto"/>
        <w:ind w:left="1985" w:hanging="1985"/>
        <w:rPr>
          <w:rFonts w:eastAsia="Times New Roman"/>
          <w:b/>
          <w:color w:val="003491"/>
          <w:sz w:val="24"/>
          <w:szCs w:val="24"/>
        </w:rPr>
      </w:pPr>
      <w:r>
        <w:rPr>
          <w:rFonts w:eastAsia="Times New Roman"/>
          <w:b/>
          <w:color w:val="003491"/>
          <w:sz w:val="24"/>
          <w:szCs w:val="24"/>
        </w:rPr>
        <w:t>Our Purpose</w:t>
      </w:r>
      <w:r w:rsidRPr="00B7182D">
        <w:rPr>
          <w:rFonts w:eastAsia="Times New Roman"/>
          <w:b/>
          <w:color w:val="003491"/>
          <w:sz w:val="24"/>
          <w:szCs w:val="24"/>
        </w:rPr>
        <w:t>:</w:t>
      </w:r>
      <w:r>
        <w:rPr>
          <w:rFonts w:eastAsia="Times New Roman"/>
          <w:b/>
          <w:color w:val="003491"/>
          <w:sz w:val="24"/>
          <w:szCs w:val="24"/>
        </w:rPr>
        <w:tab/>
      </w:r>
      <w:r w:rsidR="00A5116C">
        <w:rPr>
          <w:rFonts w:eastAsia="Times New Roman"/>
          <w:b/>
          <w:color w:val="00A1DE" w:themeColor="background2"/>
          <w:sz w:val="24"/>
          <w:szCs w:val="24"/>
        </w:rPr>
        <w:t>Great care every</w:t>
      </w:r>
      <w:r w:rsidR="008E473D">
        <w:rPr>
          <w:rFonts w:eastAsia="Times New Roman"/>
          <w:b/>
          <w:color w:val="00A1DE" w:themeColor="background2"/>
          <w:sz w:val="24"/>
          <w:szCs w:val="24"/>
        </w:rPr>
        <w:t xml:space="preserve"> </w:t>
      </w:r>
      <w:r w:rsidR="00A5116C">
        <w:rPr>
          <w:rFonts w:eastAsia="Times New Roman"/>
          <w:b/>
          <w:color w:val="00A1DE" w:themeColor="background2"/>
          <w:sz w:val="24"/>
          <w:szCs w:val="24"/>
        </w:rPr>
        <w:t>day</w:t>
      </w:r>
    </w:p>
    <w:p w14:paraId="156C0AB7" w14:textId="77777777" w:rsidR="009E2F07" w:rsidRDefault="009E2F07" w:rsidP="00D04923">
      <w:pPr>
        <w:pStyle w:val="BodyText"/>
        <w:spacing w:line="240" w:lineRule="auto"/>
        <w:ind w:left="1985" w:hanging="1985"/>
        <w:rPr>
          <w:rFonts w:eastAsia="Times New Roman"/>
          <w:b/>
          <w:color w:val="00A1DE" w:themeColor="background2"/>
          <w:sz w:val="24"/>
          <w:szCs w:val="24"/>
        </w:rPr>
      </w:pPr>
      <w:r>
        <w:rPr>
          <w:noProof/>
        </w:rPr>
        <w:drawing>
          <wp:anchor distT="0" distB="0" distL="114300" distR="114300" simplePos="0" relativeHeight="251659776" behindDoc="0" locked="0" layoutInCell="1" allowOverlap="1" wp14:anchorId="4938E965" wp14:editId="275E9FBC">
            <wp:simplePos x="0" y="0"/>
            <wp:positionH relativeFrom="column">
              <wp:posOffset>1259840</wp:posOffset>
            </wp:positionH>
            <wp:positionV relativeFrom="paragraph">
              <wp:posOffset>88900</wp:posOffset>
            </wp:positionV>
            <wp:extent cx="5105400" cy="10934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05400" cy="109347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b/>
          <w:color w:val="003491"/>
          <w:sz w:val="24"/>
          <w:szCs w:val="24"/>
        </w:rPr>
        <w:t>Our Values:</w:t>
      </w:r>
      <w:r>
        <w:rPr>
          <w:rFonts w:eastAsia="Times New Roman"/>
          <w:b/>
          <w:color w:val="003491"/>
          <w:sz w:val="24"/>
          <w:szCs w:val="24"/>
        </w:rPr>
        <w:tab/>
      </w:r>
    </w:p>
    <w:p w14:paraId="6CE3D210" w14:textId="76608A23" w:rsidR="00600593" w:rsidRDefault="00A7453C" w:rsidP="00D04923">
      <w:pPr>
        <w:spacing w:before="120" w:after="120"/>
        <w:rPr>
          <w:b/>
          <w:bCs/>
          <w:u w:val="single"/>
        </w:rPr>
      </w:pPr>
      <w:r w:rsidRPr="00A7453C">
        <w:rPr>
          <w:rFonts w:eastAsia="Times New Roman"/>
          <w:color w:val="000000"/>
          <w:szCs w:val="20"/>
          <w:lang w:eastAsia="en-AU"/>
        </w:rPr>
        <w:t>Please visit our website for additional information about</w:t>
      </w:r>
      <w:r w:rsidR="00600593">
        <w:rPr>
          <w:rFonts w:eastAsia="Times New Roman"/>
          <w:color w:val="000000"/>
          <w:szCs w:val="20"/>
          <w:lang w:eastAsia="en-AU"/>
        </w:rPr>
        <w:t xml:space="preserve"> the</w:t>
      </w:r>
      <w:r w:rsidRPr="00A7453C">
        <w:rPr>
          <w:rFonts w:eastAsia="Times New Roman"/>
          <w:color w:val="000000"/>
          <w:szCs w:val="20"/>
          <w:lang w:eastAsia="en-AU"/>
        </w:rPr>
        <w:t xml:space="preserve"> </w:t>
      </w:r>
      <w:hyperlink r:id="rId14" w:history="1">
        <w:r w:rsidR="002C5078" w:rsidRPr="00CC4416">
          <w:rPr>
            <w:rStyle w:val="Hyperlink"/>
            <w:b/>
            <w:bCs/>
          </w:rPr>
          <w:t>Townsville Hospital and Health Service</w:t>
        </w:r>
      </w:hyperlink>
      <w:r w:rsidR="002C5078" w:rsidRPr="002C5078">
        <w:rPr>
          <w:b/>
          <w:bCs/>
          <w:u w:val="single"/>
        </w:rPr>
        <w:t xml:space="preserve"> </w:t>
      </w:r>
    </w:p>
    <w:p w14:paraId="55DCA8CB" w14:textId="74DE2DA6" w:rsidR="00624C97" w:rsidRDefault="00624C97" w:rsidP="00CC6337">
      <w:pPr>
        <w:pStyle w:val="Heading1"/>
        <w:spacing w:before="240" w:after="120"/>
        <w:rPr>
          <w:sz w:val="24"/>
          <w:szCs w:val="24"/>
        </w:rPr>
      </w:pPr>
      <w:r w:rsidRPr="00D04923">
        <w:rPr>
          <w:sz w:val="24"/>
          <w:szCs w:val="24"/>
        </w:rPr>
        <w:t xml:space="preserve">Health </w:t>
      </w:r>
      <w:r>
        <w:rPr>
          <w:sz w:val="24"/>
          <w:szCs w:val="24"/>
        </w:rPr>
        <w:t xml:space="preserve">Equity and Racism </w:t>
      </w:r>
    </w:p>
    <w:p w14:paraId="6AB48050" w14:textId="77777777" w:rsidR="00624C97" w:rsidRDefault="00624C97" w:rsidP="00624C97">
      <w:r>
        <w:t xml:space="preserve">Townsville Hospital and Health Service has set out its actions and agreed key performance measures to improve Aboriginal and Torres Strait Islander people’s health and wellbeing outcomes.  The Health Equity Strategy and Implementation Plan can be found at </w:t>
      </w:r>
      <w:hyperlink r:id="rId15" w:history="1">
        <w:r>
          <w:rPr>
            <w:rStyle w:val="Hyperlink"/>
          </w:rPr>
          <w:t>First Nations Health Equity Strategy 2022-2025 and Implementation Plan</w:t>
        </w:r>
      </w:hyperlink>
    </w:p>
    <w:p w14:paraId="2EA75CC7" w14:textId="77777777" w:rsidR="00624C97" w:rsidRDefault="00624C97" w:rsidP="00624C97">
      <w:pPr>
        <w:spacing w:before="120" w:line="276" w:lineRule="auto"/>
      </w:pPr>
      <w:r>
        <w:t>Racism is a key structural determinant of Aboriginal and Torres Strait Islander people’s health inequity. Racism is not always conscious, explicit, or readily visible - often it is systemic. Systemic or institutional racism are forms of racism that are widely and deeply embedded in systems, laws, written or unwritten policies and well-established practices and beliefs that produce, condone, and perpetuate widespread unfair treatment, causing and/or contributing to inherited disadvantage.</w:t>
      </w:r>
    </w:p>
    <w:p w14:paraId="23902079" w14:textId="0BAB4ED3" w:rsidR="00D43D3E" w:rsidRDefault="00624C97" w:rsidP="00624C97">
      <w:pPr>
        <w:spacing w:before="120" w:line="276" w:lineRule="auto"/>
      </w:pPr>
      <w:r>
        <w:t xml:space="preserve">It is expected that all Townsville Hospital and Health Service staff, including the incumbent of this role as a valuable member of the Townsville Hospital and Health Service workforce, contribute to the health equity agenda and meet the intent of supporting the defined six actions that specifically meet the needs of Aboriginal and Torres Strait Islander people within the National Safety and Quality Health Service Standards (NSQHS), by actively supporting the elimination of racial discrimination and institutional racism; supporting increased access to health care; influencing the social, cultural and economic determinants of health; supporting the delivery of sustainable, culturally safe and responsive health services;  and recognise the importance of working with Aboriginal and Torres </w:t>
      </w:r>
      <w:r>
        <w:lastRenderedPageBreak/>
        <w:t>Strait Islander peoples, communities and organisations to design, deliver, monitor and review the health and support services we provide.</w:t>
      </w:r>
    </w:p>
    <w:p w14:paraId="74FE75AA" w14:textId="77777777" w:rsidR="00624C97" w:rsidRDefault="00624C97" w:rsidP="00624C97">
      <w:pPr>
        <w:pStyle w:val="Heading1"/>
        <w:spacing w:before="240" w:after="120"/>
        <w:rPr>
          <w:sz w:val="24"/>
          <w:szCs w:val="24"/>
        </w:rPr>
      </w:pPr>
      <w:r w:rsidRPr="00D04923">
        <w:rPr>
          <w:sz w:val="24"/>
          <w:szCs w:val="24"/>
        </w:rPr>
        <w:t>A</w:t>
      </w:r>
      <w:r>
        <w:rPr>
          <w:sz w:val="24"/>
          <w:szCs w:val="24"/>
        </w:rPr>
        <w:t>bout the department</w:t>
      </w:r>
    </w:p>
    <w:p w14:paraId="6E8C7515" w14:textId="77777777" w:rsidR="00A13CD4" w:rsidRDefault="00A13CD4" w:rsidP="00A13CD4">
      <w:pPr>
        <w:rPr>
          <w:rFonts w:cs="Arial"/>
        </w:rPr>
      </w:pPr>
      <w:r>
        <w:rPr>
          <w:rFonts w:cs="Arial"/>
          <w:color w:val="000000"/>
        </w:rPr>
        <w:t>The</w:t>
      </w:r>
      <w:r>
        <w:rPr>
          <w:rFonts w:cs="Arial"/>
          <w:b/>
          <w:color w:val="003366"/>
        </w:rPr>
        <w:t xml:space="preserve"> Women’s and Children’s Service Group</w:t>
      </w:r>
      <w:r>
        <w:rPr>
          <w:rFonts w:cs="Arial"/>
        </w:rPr>
        <w:t xml:space="preserve"> is one of the Service Groups responsible for health services provided outside Townsville Hospital. This Service Group is responsible for Community Services, Cleveland Youth Detention Centre, Offender Health, Women’s and Children’s, Obstetrics and Gynaecology. The Women’s and Children’s Service Group was formed with the amalgamation of the former Institutes of Primary Health and Ambulatory Care, Women’s and Children’s and the Institute of Support Services.  It is comprised of a number of individual work units, where clinical services are provided from a broad range of coordinated programs delivered from a variety of locations across the geographical area of the Townsville Hospital and Health Service.</w:t>
      </w:r>
    </w:p>
    <w:p w14:paraId="1D7498E6" w14:textId="77777777" w:rsidR="00A13CD4" w:rsidRPr="00CE7D6A" w:rsidRDefault="00A13CD4" w:rsidP="00A13CD4">
      <w:pPr>
        <w:rPr>
          <w:rFonts w:cs="Arial"/>
          <w:b/>
          <w:color w:val="000000"/>
          <w:sz w:val="12"/>
          <w:szCs w:val="12"/>
        </w:rPr>
      </w:pPr>
    </w:p>
    <w:p w14:paraId="1D1A632F" w14:textId="77777777" w:rsidR="00A13CD4" w:rsidRDefault="00A13CD4" w:rsidP="00A13CD4">
      <w:pPr>
        <w:rPr>
          <w:rFonts w:cs="Arial"/>
        </w:rPr>
      </w:pPr>
      <w:r>
        <w:rPr>
          <w:rFonts w:cs="Arial"/>
          <w:b/>
          <w:color w:val="003366"/>
        </w:rPr>
        <w:t>Paediatric Services</w:t>
      </w:r>
      <w:r>
        <w:rPr>
          <w:rFonts w:cs="Arial"/>
          <w:b/>
          <w:color w:val="000080"/>
        </w:rPr>
        <w:t xml:space="preserve"> </w:t>
      </w:r>
      <w:r>
        <w:rPr>
          <w:rFonts w:cs="Arial"/>
        </w:rPr>
        <w:t xml:space="preserve">provides inpatient, ambulatory and community services, with a primary health care focus.  Inpatient services consist of the paediatric ward, which is a 30 bed unit catering for children from birth to 16 years of age. The paediatric ward provides both regional and tertiary paediatric services for the Townsville Health Service. Services provided range from general paediatric to a broad range of medical, surgical, and specialist services (excluding cardiac surgery). The paediatric unit works closely with the Paediatric Intensive Care Unit, The Emergency Department and Neonatology Service. </w:t>
      </w:r>
    </w:p>
    <w:p w14:paraId="185BBB52" w14:textId="77777777" w:rsidR="00A13CD4" w:rsidRPr="00CE7D6A" w:rsidRDefault="00A13CD4" w:rsidP="00A13CD4">
      <w:pPr>
        <w:rPr>
          <w:rFonts w:cs="Arial"/>
          <w:sz w:val="12"/>
          <w:szCs w:val="12"/>
        </w:rPr>
      </w:pPr>
    </w:p>
    <w:p w14:paraId="122E09F1" w14:textId="77777777" w:rsidR="00A13CD4" w:rsidRDefault="00A13CD4" w:rsidP="00A13CD4">
      <w:pPr>
        <w:rPr>
          <w:rFonts w:cs="Arial"/>
        </w:rPr>
      </w:pPr>
      <w:r>
        <w:rPr>
          <w:rFonts w:cs="Arial"/>
        </w:rPr>
        <w:t xml:space="preserve">The paediatric service also provides outpatient, extended acute care and community based paediatric services to support the continuum of care. There is a multidisciplinary team focus based on principles of family centred care. </w:t>
      </w:r>
    </w:p>
    <w:p w14:paraId="0B400B2A" w14:textId="071C21D2" w:rsidR="00A13CD4" w:rsidRDefault="00A13CD4" w:rsidP="00A13CD4">
      <w:pPr>
        <w:rPr>
          <w:rFonts w:cs="Arial"/>
        </w:rPr>
      </w:pPr>
      <w:r>
        <w:rPr>
          <w:rFonts w:cs="Arial"/>
        </w:rPr>
        <w:t xml:space="preserve">Child centred care is central to our ward philosophy which allows a collaborative partnership between families and health care staff based on mutual respect, trust, honesty and open communication. The Townsville Paediatric service provides a number of sub-speciality services including </w:t>
      </w:r>
      <w:r w:rsidR="004E2EAF">
        <w:rPr>
          <w:rFonts w:cs="Arial"/>
        </w:rPr>
        <w:t xml:space="preserve">Cardiology, </w:t>
      </w:r>
      <w:r>
        <w:rPr>
          <w:rFonts w:cs="Arial"/>
        </w:rPr>
        <w:t>Respiratory, Endocrinology,</w:t>
      </w:r>
      <w:r w:rsidR="004E2EAF">
        <w:rPr>
          <w:rFonts w:cs="Arial"/>
        </w:rPr>
        <w:t xml:space="preserve"> Gastroenterology,</w:t>
      </w:r>
      <w:r>
        <w:rPr>
          <w:rFonts w:cs="Arial"/>
        </w:rPr>
        <w:t xml:space="preserve"> Rehabilitation and Oncology (Shared model).</w:t>
      </w:r>
    </w:p>
    <w:p w14:paraId="16C7A5CF" w14:textId="0D95CB3F" w:rsidR="00A7453C" w:rsidRPr="00CC6337" w:rsidRDefault="00A7453C" w:rsidP="00CC6337">
      <w:pPr>
        <w:pStyle w:val="Heading1"/>
        <w:spacing w:before="240" w:after="120"/>
        <w:rPr>
          <w:sz w:val="24"/>
          <w:szCs w:val="24"/>
        </w:rPr>
      </w:pPr>
      <w:r w:rsidRPr="00D04923">
        <w:rPr>
          <w:sz w:val="24"/>
          <w:szCs w:val="24"/>
        </w:rPr>
        <w:t xml:space="preserve">Additional </w:t>
      </w:r>
      <w:r w:rsidR="00DC7A8E">
        <w:rPr>
          <w:sz w:val="24"/>
          <w:szCs w:val="24"/>
        </w:rPr>
        <w:t>i</w:t>
      </w:r>
      <w:r w:rsidRPr="00D04923">
        <w:rPr>
          <w:sz w:val="24"/>
          <w:szCs w:val="24"/>
        </w:rPr>
        <w:t>nformation</w:t>
      </w:r>
    </w:p>
    <w:p w14:paraId="0430A8EE" w14:textId="77777777" w:rsidR="00C15284" w:rsidRPr="00306E07" w:rsidRDefault="00C15284" w:rsidP="00C15284">
      <w:pPr>
        <w:numPr>
          <w:ilvl w:val="0"/>
          <w:numId w:val="14"/>
        </w:numPr>
        <w:spacing w:before="120" w:after="120"/>
        <w:rPr>
          <w:rFonts w:cs="Arial"/>
          <w:bCs/>
          <w:szCs w:val="20"/>
        </w:rPr>
      </w:pPr>
      <w:r w:rsidRPr="00306E07">
        <w:rPr>
          <w:rFonts w:cs="Arial"/>
          <w:bCs/>
          <w:szCs w:val="20"/>
        </w:rPr>
        <w:t xml:space="preserve">Pre-employment screening, including criminal history, aged care checks, and discipline history checks, may be undertaken on persons recommended for employment.  Roles providing health, counselling and support services to children will require a ‘working with children check’ from the Blue Card Services Department of Justice and Attorney-General prior to appointment, unless otherwise exempt. </w:t>
      </w:r>
    </w:p>
    <w:p w14:paraId="59CD64D0" w14:textId="296140B4" w:rsidR="00C15284" w:rsidRPr="00600593" w:rsidRDefault="00837916" w:rsidP="00C15284">
      <w:pPr>
        <w:numPr>
          <w:ilvl w:val="0"/>
          <w:numId w:val="14"/>
        </w:numPr>
        <w:spacing w:before="120" w:after="120"/>
        <w:rPr>
          <w:rFonts w:cs="Arial"/>
          <w:bCs/>
          <w:szCs w:val="20"/>
        </w:rPr>
      </w:pPr>
      <w:r>
        <w:rPr>
          <w:rFonts w:cs="Arial"/>
          <w:bCs/>
          <w:szCs w:val="20"/>
        </w:rPr>
        <w:t>E</w:t>
      </w:r>
      <w:r w:rsidR="00C15284" w:rsidRPr="00600593">
        <w:rPr>
          <w:rFonts w:cs="Arial"/>
          <w:bCs/>
          <w:szCs w:val="20"/>
        </w:rPr>
        <w:t>mployees</w:t>
      </w:r>
      <w:r>
        <w:rPr>
          <w:rFonts w:cs="Arial"/>
          <w:bCs/>
          <w:szCs w:val="20"/>
        </w:rPr>
        <w:t xml:space="preserve"> who are </w:t>
      </w:r>
      <w:r w:rsidR="00891B5F" w:rsidRPr="00600593">
        <w:rPr>
          <w:rFonts w:cs="Arial"/>
          <w:bCs/>
          <w:szCs w:val="20"/>
        </w:rPr>
        <w:t>appointed to Queensland Health</w:t>
      </w:r>
      <w:r w:rsidR="00891B5F">
        <w:rPr>
          <w:rFonts w:cs="Arial"/>
          <w:bCs/>
          <w:szCs w:val="20"/>
        </w:rPr>
        <w:t xml:space="preserve"> </w:t>
      </w:r>
      <w:r>
        <w:rPr>
          <w:rFonts w:cs="Arial"/>
          <w:bCs/>
          <w:szCs w:val="20"/>
        </w:rPr>
        <w:t xml:space="preserve">may be required to undertake a period of probation </w:t>
      </w:r>
      <w:r w:rsidR="00C15284" w:rsidRPr="00600593">
        <w:rPr>
          <w:rFonts w:cs="Arial"/>
          <w:bCs/>
          <w:szCs w:val="20"/>
        </w:rPr>
        <w:t>appropriate to the appointment</w:t>
      </w:r>
      <w:r>
        <w:rPr>
          <w:rFonts w:cs="Arial"/>
          <w:bCs/>
          <w:szCs w:val="20"/>
        </w:rPr>
        <w:t xml:space="preserve">.  For further information, refer to </w:t>
      </w:r>
      <w:r w:rsidR="00A62D3C">
        <w:rPr>
          <w:rFonts w:cs="Arial"/>
          <w:bCs/>
          <w:szCs w:val="20"/>
        </w:rPr>
        <w:t xml:space="preserve">Probation HR Policy B2. </w:t>
      </w:r>
      <w:r>
        <w:rPr>
          <w:rFonts w:cs="Arial"/>
          <w:bCs/>
          <w:szCs w:val="20"/>
        </w:rPr>
        <w:t xml:space="preserve"> </w:t>
      </w:r>
    </w:p>
    <w:p w14:paraId="37A15BCD" w14:textId="77777777" w:rsidR="00C15284" w:rsidRDefault="00C15284" w:rsidP="00C15284">
      <w:pPr>
        <w:numPr>
          <w:ilvl w:val="0"/>
          <w:numId w:val="14"/>
        </w:numPr>
        <w:spacing w:before="120" w:after="120"/>
        <w:rPr>
          <w:rFonts w:cs="Arial"/>
          <w:bCs/>
          <w:szCs w:val="20"/>
        </w:rPr>
      </w:pPr>
      <w:r>
        <w:rPr>
          <w:rFonts w:cs="Arial"/>
          <w:bCs/>
          <w:szCs w:val="20"/>
        </w:rPr>
        <w:t>All relevant health professionals, who in the course of their duties formulate a reasonable suspicion that a child or youth has been abused or neglected in their home/community environment, have a legislative and a duty of care obligation to immediately report such concerns to Child Safety Services, Department of Communities.</w:t>
      </w:r>
    </w:p>
    <w:p w14:paraId="444B91F4" w14:textId="24B7FF34" w:rsidR="00C15284" w:rsidRPr="00154509" w:rsidRDefault="00C15284" w:rsidP="00C15284">
      <w:pPr>
        <w:pStyle w:val="BodyText"/>
        <w:numPr>
          <w:ilvl w:val="0"/>
          <w:numId w:val="14"/>
        </w:numPr>
        <w:spacing w:line="240" w:lineRule="auto"/>
        <w:rPr>
          <w:rFonts w:cs="Arial"/>
          <w:bCs/>
          <w:color w:val="auto"/>
          <w:szCs w:val="20"/>
        </w:rPr>
      </w:pPr>
      <w:r w:rsidRPr="009E2F07">
        <w:t xml:space="preserve">Applicants will be required to give a statement of their employment as a lobbyist within one (1) month of taking up the appointment. Details </w:t>
      </w:r>
      <w:hyperlink r:id="rId16" w:history="1">
        <w:r w:rsidRPr="00CC4416">
          <w:rPr>
            <w:rStyle w:val="Hyperlink"/>
          </w:rPr>
          <w:t>Lobbyist Disclosure</w:t>
        </w:r>
      </w:hyperlink>
      <w:r w:rsidR="00154509" w:rsidRPr="00154509">
        <w:rPr>
          <w:rFonts w:eastAsia="Times New Roman"/>
          <w:color w:val="auto"/>
          <w:szCs w:val="20"/>
          <w:lang w:eastAsia="en-AU"/>
        </w:rPr>
        <w:t>.</w:t>
      </w:r>
    </w:p>
    <w:p w14:paraId="222B0640" w14:textId="41C635D2" w:rsidR="00C15284" w:rsidRPr="00154509" w:rsidRDefault="00C15284" w:rsidP="00C15284">
      <w:pPr>
        <w:numPr>
          <w:ilvl w:val="0"/>
          <w:numId w:val="14"/>
        </w:numPr>
        <w:spacing w:before="120" w:after="120"/>
        <w:rPr>
          <w:rFonts w:cs="Arial"/>
          <w:bCs/>
          <w:szCs w:val="20"/>
        </w:rPr>
      </w:pPr>
      <w:r w:rsidRPr="002C5078">
        <w:rPr>
          <w:rFonts w:cs="Arial"/>
          <w:bCs/>
          <w:szCs w:val="20"/>
        </w:rPr>
        <w:t>Applicants may be required to disclose any pre-existing illness or injury which may impact on their ability to perform the</w:t>
      </w:r>
      <w:r>
        <w:rPr>
          <w:rFonts w:cs="Arial"/>
          <w:bCs/>
          <w:szCs w:val="20"/>
        </w:rPr>
        <w:t xml:space="preserve"> role. </w:t>
      </w:r>
      <w:r w:rsidRPr="00600593">
        <w:rPr>
          <w:rFonts w:cs="Arial"/>
          <w:bCs/>
          <w:szCs w:val="20"/>
        </w:rPr>
        <w:t xml:space="preserve">Details are available in section 571 of the </w:t>
      </w:r>
      <w:hyperlink r:id="rId17" w:history="1">
        <w:r w:rsidRPr="00CC4416">
          <w:rPr>
            <w:rStyle w:val="Hyperlink"/>
          </w:rPr>
          <w:t>Workers' Compensation and Rehabilitation Act 2003</w:t>
        </w:r>
      </w:hyperlink>
      <w:r w:rsidR="00154509" w:rsidRPr="00CC4416">
        <w:rPr>
          <w:rStyle w:val="Hyperlink"/>
        </w:rPr>
        <w:t>.</w:t>
      </w:r>
    </w:p>
    <w:p w14:paraId="679B7919" w14:textId="43C91EE9" w:rsidR="00A13CD4" w:rsidRDefault="00C15284" w:rsidP="00C15284">
      <w:pPr>
        <w:numPr>
          <w:ilvl w:val="0"/>
          <w:numId w:val="14"/>
        </w:numPr>
        <w:spacing w:before="120" w:after="120"/>
        <w:rPr>
          <w:rStyle w:val="Hyperlink"/>
        </w:rPr>
      </w:pPr>
      <w:r w:rsidRPr="003203E6">
        <w:rPr>
          <w:color w:val="000000"/>
        </w:rPr>
        <w:t>In</w:t>
      </w:r>
      <w:r>
        <w:rPr>
          <w:color w:val="000000"/>
        </w:rPr>
        <w:t xml:space="preserve"> accordance with Government requirements and Queensland Health’s commitment to a healthier workplace the Queensland Health Smoking Management Policy supports a smoke-free environment.  Smoking is prohibited at all Queensland public hospitals and health facilities and for five (5) metres beyond their boundaries. Queensland Health employees may obtain assistance to quit smoking through staff program </w:t>
      </w:r>
      <w:r>
        <w:rPr>
          <w:i/>
          <w:color w:val="000000"/>
        </w:rPr>
        <w:t xml:space="preserve">Quit Smoking for Life </w:t>
      </w:r>
      <w:r>
        <w:rPr>
          <w:color w:val="000000"/>
        </w:rPr>
        <w:t xml:space="preserve">program. Information is available at </w:t>
      </w:r>
      <w:hyperlink r:id="rId18" w:history="1">
        <w:r w:rsidRPr="00CC4416">
          <w:rPr>
            <w:rStyle w:val="Hyperlink"/>
          </w:rPr>
          <w:t>Quit smoking.....for life!</w:t>
        </w:r>
      </w:hyperlink>
    </w:p>
    <w:p w14:paraId="15B3980E" w14:textId="77777777" w:rsidR="00A13CD4" w:rsidRDefault="00A13CD4">
      <w:pPr>
        <w:rPr>
          <w:rStyle w:val="Hyperlink"/>
        </w:rPr>
      </w:pPr>
      <w:r>
        <w:rPr>
          <w:rStyle w:val="Hyperlink"/>
        </w:rPr>
        <w:br w:type="page"/>
      </w:r>
    </w:p>
    <w:p w14:paraId="2B9D3322" w14:textId="6B9F5258" w:rsidR="00A13CD4" w:rsidRDefault="00A7453C" w:rsidP="00A13CD4">
      <w:pPr>
        <w:pStyle w:val="Heading1"/>
        <w:spacing w:before="240" w:after="120"/>
      </w:pPr>
      <w:r w:rsidRPr="00D04923">
        <w:rPr>
          <w:sz w:val="24"/>
          <w:szCs w:val="24"/>
        </w:rPr>
        <w:lastRenderedPageBreak/>
        <w:t xml:space="preserve">Organisational Chart </w:t>
      </w:r>
    </w:p>
    <w:p w14:paraId="708B6D28" w14:textId="1BAA3426" w:rsidR="00A13CD4" w:rsidRPr="00A13CD4" w:rsidRDefault="00A13CD4" w:rsidP="00A13CD4">
      <w:pPr>
        <w:pStyle w:val="BodyText"/>
        <w:rPr>
          <w:lang w:val="en-US"/>
        </w:rPr>
      </w:pPr>
      <w:r>
        <w:rPr>
          <w:noProof/>
        </w:rPr>
        <w:drawing>
          <wp:inline distT="0" distB="0" distL="0" distR="0" wp14:anchorId="70467ACA" wp14:editId="2DC9395B">
            <wp:extent cx="6029325" cy="9239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9325" cy="9239250"/>
                    </a:xfrm>
                    <a:prstGeom prst="rect">
                      <a:avLst/>
                    </a:prstGeom>
                    <a:noFill/>
                    <a:ln>
                      <a:noFill/>
                    </a:ln>
                  </pic:spPr>
                </pic:pic>
              </a:graphicData>
            </a:graphic>
          </wp:inline>
        </w:drawing>
      </w:r>
      <w:bookmarkEnd w:id="0"/>
      <w:bookmarkEnd w:id="1"/>
    </w:p>
    <w:sectPr w:rsidR="00A13CD4" w:rsidRPr="00A13CD4" w:rsidSect="00AA6F31">
      <w:footerReference w:type="default" r:id="rId20"/>
      <w:headerReference w:type="first" r:id="rId21"/>
      <w:footerReference w:type="first" r:id="rId22"/>
      <w:type w:val="continuous"/>
      <w:pgSz w:w="11906" w:h="16838" w:code="9"/>
      <w:pgMar w:top="709" w:right="849" w:bottom="1135" w:left="851" w:header="567" w:footer="0" w:gutter="0"/>
      <w:cols w:space="56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B1E8B" w14:textId="77777777" w:rsidR="000257DD" w:rsidRDefault="000257DD" w:rsidP="00723663">
      <w:r>
        <w:separator/>
      </w:r>
    </w:p>
  </w:endnote>
  <w:endnote w:type="continuationSeparator" w:id="0">
    <w:p w14:paraId="5727887D" w14:textId="77777777" w:rsidR="000257DD" w:rsidRDefault="000257DD" w:rsidP="0072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262"/>
      <w:gridCol w:w="3550"/>
      <w:gridCol w:w="3394"/>
    </w:tblGrid>
    <w:tr w:rsidR="00C72410" w:rsidRPr="00C41B4E" w14:paraId="6FD4AEB8" w14:textId="77777777" w:rsidTr="00A7453C">
      <w:trPr>
        <w:trHeight w:val="287"/>
      </w:trPr>
      <w:tc>
        <w:tcPr>
          <w:tcW w:w="3265" w:type="dxa"/>
          <w:shd w:val="clear" w:color="auto" w:fill="auto"/>
        </w:tcPr>
        <w:p w14:paraId="5CF3CBBB" w14:textId="77777777" w:rsidR="00C72410" w:rsidRPr="00935303" w:rsidRDefault="00C72410" w:rsidP="00A7453C">
          <w:pPr>
            <w:pStyle w:val="Footer"/>
            <w:rPr>
              <w:i/>
              <w:color w:val="808080" w:themeColor="background1" w:themeShade="80"/>
              <w:sz w:val="14"/>
              <w:szCs w:val="14"/>
            </w:rPr>
          </w:pPr>
          <w:r w:rsidRPr="00C41B4E">
            <w:t xml:space="preserve">Townsville Hospital </w:t>
          </w:r>
          <w:r w:rsidRPr="00C41B4E">
            <w:rPr>
              <w:color w:val="00A1DE"/>
            </w:rPr>
            <w:t>and Health Service</w:t>
          </w:r>
          <w:r>
            <w:rPr>
              <w:color w:val="00A1DE"/>
            </w:rPr>
            <w:t xml:space="preserve"> </w:t>
          </w:r>
        </w:p>
      </w:tc>
      <w:tc>
        <w:tcPr>
          <w:tcW w:w="3553" w:type="dxa"/>
        </w:tcPr>
        <w:p w14:paraId="0FDBB88D" w14:textId="77777777" w:rsidR="00C72410" w:rsidRPr="00935303" w:rsidRDefault="00C72410" w:rsidP="00935303">
          <w:pPr>
            <w:pStyle w:val="Footer"/>
            <w:rPr>
              <w:i/>
            </w:rPr>
          </w:pPr>
          <w:r w:rsidRPr="00935303">
            <w:rPr>
              <w:i/>
              <w:color w:val="00A1DE" w:themeColor="background2"/>
            </w:rPr>
            <w:t xml:space="preserve">Role Description </w:t>
          </w:r>
        </w:p>
      </w:tc>
      <w:tc>
        <w:tcPr>
          <w:tcW w:w="3398" w:type="dxa"/>
          <w:shd w:val="clear" w:color="auto" w:fill="auto"/>
        </w:tcPr>
        <w:p w14:paraId="7B43B71C" w14:textId="77777777" w:rsidR="00C72410" w:rsidRPr="00C41B4E" w:rsidRDefault="00C72410" w:rsidP="00C41B4E">
          <w:pPr>
            <w:pStyle w:val="Footer"/>
            <w:jc w:val="right"/>
          </w:pPr>
          <w:r w:rsidRPr="00C41B4E">
            <w:t xml:space="preserve">Page </w:t>
          </w:r>
          <w:r w:rsidRPr="00C41B4E">
            <w:fldChar w:fldCharType="begin"/>
          </w:r>
          <w:r w:rsidRPr="00C41B4E">
            <w:instrText xml:space="preserve"> PAGE   \* MERGEFORMAT </w:instrText>
          </w:r>
          <w:r w:rsidRPr="00C41B4E">
            <w:fldChar w:fldCharType="separate"/>
          </w:r>
          <w:r>
            <w:rPr>
              <w:noProof/>
            </w:rPr>
            <w:t>4</w:t>
          </w:r>
          <w:r w:rsidRPr="00C41B4E">
            <w:fldChar w:fldCharType="end"/>
          </w:r>
        </w:p>
      </w:tc>
    </w:tr>
    <w:tr w:rsidR="00C72410" w:rsidRPr="00C41B4E" w14:paraId="3C8E8BE3" w14:textId="77777777" w:rsidTr="00A7453C">
      <w:tc>
        <w:tcPr>
          <w:tcW w:w="6818" w:type="dxa"/>
          <w:gridSpan w:val="2"/>
          <w:shd w:val="clear" w:color="auto" w:fill="auto"/>
        </w:tcPr>
        <w:p w14:paraId="4D3FCB4B" w14:textId="77777777" w:rsidR="00C72410" w:rsidRPr="00A7453C" w:rsidRDefault="00C72410" w:rsidP="00935303">
          <w:pPr>
            <w:pStyle w:val="Footer"/>
            <w:rPr>
              <w:i/>
              <w:color w:val="00A1DE" w:themeColor="background2"/>
              <w:szCs w:val="16"/>
            </w:rPr>
          </w:pPr>
          <w:r w:rsidRPr="00A7453C">
            <w:rPr>
              <w:color w:val="808080" w:themeColor="background1" w:themeShade="80"/>
              <w:szCs w:val="16"/>
            </w:rPr>
            <w:t>To find out more about Queensland Health</w:t>
          </w:r>
          <w:r>
            <w:rPr>
              <w:color w:val="808080" w:themeColor="background1" w:themeShade="80"/>
              <w:szCs w:val="16"/>
            </w:rPr>
            <w:t>,</w:t>
          </w:r>
          <w:r w:rsidRPr="00A7453C">
            <w:rPr>
              <w:color w:val="808080" w:themeColor="background1" w:themeShade="80"/>
              <w:szCs w:val="16"/>
            </w:rPr>
            <w:t xml:space="preserve"> visit www.health.qld.gov.au</w:t>
          </w:r>
        </w:p>
      </w:tc>
      <w:tc>
        <w:tcPr>
          <w:tcW w:w="3398" w:type="dxa"/>
          <w:shd w:val="clear" w:color="auto" w:fill="auto"/>
        </w:tcPr>
        <w:p w14:paraId="2366DF3A" w14:textId="77777777" w:rsidR="00C72410" w:rsidRPr="00C41B4E" w:rsidRDefault="00C72410" w:rsidP="00C41B4E">
          <w:pPr>
            <w:pStyle w:val="Footer"/>
            <w:jc w:val="right"/>
          </w:pPr>
        </w:p>
      </w:tc>
    </w:tr>
  </w:tbl>
  <w:p w14:paraId="439958CF" w14:textId="77777777" w:rsidR="00C72410" w:rsidRDefault="00C72410" w:rsidP="00CE4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44330" w14:textId="77777777" w:rsidR="00C72410" w:rsidRDefault="00C72410" w:rsidP="007756D6">
    <w:pPr>
      <w:tabs>
        <w:tab w:val="center" w:pos="5244"/>
        <w:tab w:val="right" w:pos="10489"/>
      </w:tabs>
    </w:pPr>
    <w:r>
      <w:rPr>
        <w:noProof/>
        <w:sz w:val="3276"/>
        <w:szCs w:val="3276"/>
      </w:rPr>
      <w:drawing>
        <wp:anchor distT="0" distB="0" distL="114300" distR="114300" simplePos="0" relativeHeight="251661312" behindDoc="0" locked="0" layoutInCell="1" allowOverlap="1" wp14:anchorId="1C751367" wp14:editId="07A4C14A">
          <wp:simplePos x="0" y="0"/>
          <wp:positionH relativeFrom="column">
            <wp:posOffset>6015355</wp:posOffset>
          </wp:positionH>
          <wp:positionV relativeFrom="paragraph">
            <wp:posOffset>-258445</wp:posOffset>
          </wp:positionV>
          <wp:extent cx="669290" cy="8407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90" cy="840740"/>
                  </a:xfrm>
                  <a:prstGeom prst="rect">
                    <a:avLst/>
                  </a:prstGeom>
                  <a:noFill/>
                </pic:spPr>
              </pic:pic>
            </a:graphicData>
          </a:graphic>
          <wp14:sizeRelH relativeFrom="page">
            <wp14:pctWidth>0</wp14:pctWidth>
          </wp14:sizeRelH>
          <wp14:sizeRelV relativeFrom="page">
            <wp14:pctHeight>0</wp14:pctHeight>
          </wp14:sizeRelV>
        </wp:anchor>
      </w:drawing>
    </w:r>
  </w:p>
  <w:p w14:paraId="42323997" w14:textId="5C111561" w:rsidR="00C72410" w:rsidRPr="00464480" w:rsidRDefault="00C72410" w:rsidP="00600593">
    <w:pPr>
      <w:tabs>
        <w:tab w:val="center" w:pos="5103"/>
        <w:tab w:val="right" w:pos="10489"/>
      </w:tabs>
      <w:rPr>
        <w:sz w:val="16"/>
        <w:szCs w:val="16"/>
      </w:rPr>
    </w:pPr>
    <w:r>
      <w:t>Version 1.</w:t>
    </w:r>
    <w:r w:rsidR="00357B71">
      <w:t>7</w:t>
    </w:r>
    <w:r>
      <w:tab/>
    </w:r>
    <w:r w:rsidRPr="00464480">
      <w:rPr>
        <w:sz w:val="16"/>
        <w:szCs w:val="16"/>
      </w:rPr>
      <w:t xml:space="preserve">Created and endorsed: </w:t>
    </w:r>
    <w:r w:rsidR="00CC6337">
      <w:rPr>
        <w:sz w:val="16"/>
        <w:szCs w:val="16"/>
      </w:rPr>
      <w:t>August 2018</w:t>
    </w:r>
  </w:p>
  <w:p w14:paraId="1BD835B1" w14:textId="386103CB" w:rsidR="00C72410" w:rsidRDefault="00C72410" w:rsidP="00600593">
    <w:pPr>
      <w:tabs>
        <w:tab w:val="center" w:pos="5244"/>
        <w:tab w:val="right" w:pos="10489"/>
      </w:tabs>
      <w:jc w:val="center"/>
      <w:rPr>
        <w:sz w:val="16"/>
        <w:szCs w:val="16"/>
      </w:rPr>
    </w:pPr>
    <w:r>
      <w:rPr>
        <w:sz w:val="16"/>
        <w:szCs w:val="16"/>
      </w:rPr>
      <w:t>D</w:t>
    </w:r>
    <w:r w:rsidRPr="00464480">
      <w:rPr>
        <w:sz w:val="16"/>
        <w:szCs w:val="16"/>
      </w:rPr>
      <w:t>ate</w:t>
    </w:r>
    <w:r>
      <w:rPr>
        <w:sz w:val="16"/>
        <w:szCs w:val="16"/>
      </w:rPr>
      <w:t xml:space="preserve"> reviewed</w:t>
    </w:r>
    <w:r w:rsidRPr="00464480">
      <w:rPr>
        <w:sz w:val="16"/>
        <w:szCs w:val="16"/>
      </w:rPr>
      <w:t xml:space="preserve">: </w:t>
    </w:r>
    <w:r w:rsidR="00CC6337">
      <w:rPr>
        <w:sz w:val="16"/>
        <w:szCs w:val="16"/>
      </w:rPr>
      <w:t>December</w:t>
    </w:r>
    <w:r>
      <w:rPr>
        <w:sz w:val="16"/>
        <w:szCs w:val="16"/>
      </w:rPr>
      <w:t xml:space="preserve"> 2019</w:t>
    </w:r>
  </w:p>
  <w:p w14:paraId="7CDB41AF" w14:textId="13C4A015" w:rsidR="00564993" w:rsidRDefault="00564993" w:rsidP="00600593">
    <w:pPr>
      <w:tabs>
        <w:tab w:val="center" w:pos="5244"/>
        <w:tab w:val="right" w:pos="10489"/>
      </w:tabs>
      <w:jc w:val="center"/>
    </w:pPr>
    <w:r>
      <w:rPr>
        <w:sz w:val="16"/>
        <w:szCs w:val="16"/>
      </w:rPr>
      <w:t xml:space="preserve">Last update: </w:t>
    </w:r>
    <w:r w:rsidR="00357B71">
      <w:rPr>
        <w:sz w:val="16"/>
        <w:szCs w:val="16"/>
      </w:rPr>
      <w:t>November 2023</w:t>
    </w:r>
  </w:p>
  <w:p w14:paraId="539780E2" w14:textId="77777777" w:rsidR="00C72410" w:rsidRDefault="00C72410">
    <w:pPr>
      <w:pStyle w:val="Footer"/>
    </w:pPr>
  </w:p>
  <w:p w14:paraId="76384A4C" w14:textId="77777777" w:rsidR="00C72410" w:rsidRDefault="00C72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D34E2" w14:textId="77777777" w:rsidR="000257DD" w:rsidRDefault="000257DD" w:rsidP="00723663">
      <w:r>
        <w:separator/>
      </w:r>
    </w:p>
  </w:footnote>
  <w:footnote w:type="continuationSeparator" w:id="0">
    <w:p w14:paraId="38CC5212" w14:textId="77777777" w:rsidR="000257DD" w:rsidRDefault="000257DD" w:rsidP="0072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93AC" w14:textId="77777777" w:rsidR="00C72410" w:rsidRDefault="00C72410" w:rsidP="00C5799F">
    <w:pPr>
      <w:pStyle w:val="Header"/>
    </w:pPr>
    <w:r w:rsidRPr="009E20E4">
      <w:rPr>
        <w:noProof/>
        <w:sz w:val="20"/>
      </w:rPr>
      <w:drawing>
        <wp:anchor distT="0" distB="0" distL="114300" distR="114300" simplePos="0" relativeHeight="251659264" behindDoc="1" locked="0" layoutInCell="1" allowOverlap="1" wp14:anchorId="20A93CDC" wp14:editId="179078C0">
          <wp:simplePos x="0" y="0"/>
          <wp:positionH relativeFrom="column">
            <wp:posOffset>-535305</wp:posOffset>
          </wp:positionH>
          <wp:positionV relativeFrom="paragraph">
            <wp:posOffset>-360045</wp:posOffset>
          </wp:positionV>
          <wp:extent cx="7668260" cy="1201420"/>
          <wp:effectExtent l="0" t="0" r="0" b="0"/>
          <wp:wrapNone/>
          <wp:docPr id="8" name="Picture 8" descr="A4 Wor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4 Word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8260" cy="1201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976"/>
    <w:multiLevelType w:val="hybridMultilevel"/>
    <w:tmpl w:val="9D680C2E"/>
    <w:lvl w:ilvl="0" w:tplc="B25C0D0A">
      <w:start w:val="1"/>
      <w:numFmt w:val="bullet"/>
      <w:lvlText w:val=""/>
      <w:lvlJc w:val="left"/>
      <w:pPr>
        <w:ind w:left="1620" w:hanging="360"/>
      </w:pPr>
      <w:rPr>
        <w:rFonts w:ascii="Symbol" w:hAnsi="Symbol" w:hint="default"/>
      </w:rPr>
    </w:lvl>
    <w:lvl w:ilvl="1" w:tplc="0C090003">
      <w:start w:val="1"/>
      <w:numFmt w:val="bullet"/>
      <w:lvlText w:val="o"/>
      <w:lvlJc w:val="left"/>
      <w:pPr>
        <w:ind w:left="2340" w:hanging="360"/>
      </w:pPr>
      <w:rPr>
        <w:rFonts w:ascii="Courier New" w:hAnsi="Courier New" w:cs="Courier New" w:hint="default"/>
      </w:rPr>
    </w:lvl>
    <w:lvl w:ilvl="2" w:tplc="0C090005">
      <w:start w:val="1"/>
      <w:numFmt w:val="bullet"/>
      <w:lvlText w:val=""/>
      <w:lvlJc w:val="left"/>
      <w:pPr>
        <w:ind w:left="3060" w:hanging="360"/>
      </w:pPr>
      <w:rPr>
        <w:rFonts w:ascii="Wingdings" w:hAnsi="Wingdings" w:hint="default"/>
      </w:rPr>
    </w:lvl>
    <w:lvl w:ilvl="3" w:tplc="0C090001">
      <w:start w:val="1"/>
      <w:numFmt w:val="bullet"/>
      <w:lvlText w:val=""/>
      <w:lvlJc w:val="left"/>
      <w:pPr>
        <w:ind w:left="3780" w:hanging="360"/>
      </w:pPr>
      <w:rPr>
        <w:rFonts w:ascii="Symbol" w:hAnsi="Symbol" w:hint="default"/>
      </w:rPr>
    </w:lvl>
    <w:lvl w:ilvl="4" w:tplc="0C090003">
      <w:start w:val="1"/>
      <w:numFmt w:val="bullet"/>
      <w:lvlText w:val="o"/>
      <w:lvlJc w:val="left"/>
      <w:pPr>
        <w:ind w:left="4500" w:hanging="360"/>
      </w:pPr>
      <w:rPr>
        <w:rFonts w:ascii="Courier New" w:hAnsi="Courier New" w:cs="Courier New" w:hint="default"/>
      </w:rPr>
    </w:lvl>
    <w:lvl w:ilvl="5" w:tplc="0C090005">
      <w:start w:val="1"/>
      <w:numFmt w:val="bullet"/>
      <w:lvlText w:val=""/>
      <w:lvlJc w:val="left"/>
      <w:pPr>
        <w:ind w:left="5220" w:hanging="360"/>
      </w:pPr>
      <w:rPr>
        <w:rFonts w:ascii="Wingdings" w:hAnsi="Wingdings" w:hint="default"/>
      </w:rPr>
    </w:lvl>
    <w:lvl w:ilvl="6" w:tplc="0C090001">
      <w:start w:val="1"/>
      <w:numFmt w:val="bullet"/>
      <w:lvlText w:val=""/>
      <w:lvlJc w:val="left"/>
      <w:pPr>
        <w:ind w:left="5940" w:hanging="360"/>
      </w:pPr>
      <w:rPr>
        <w:rFonts w:ascii="Symbol" w:hAnsi="Symbol" w:hint="default"/>
      </w:rPr>
    </w:lvl>
    <w:lvl w:ilvl="7" w:tplc="0C090003">
      <w:start w:val="1"/>
      <w:numFmt w:val="bullet"/>
      <w:lvlText w:val="o"/>
      <w:lvlJc w:val="left"/>
      <w:pPr>
        <w:ind w:left="6660" w:hanging="360"/>
      </w:pPr>
      <w:rPr>
        <w:rFonts w:ascii="Courier New" w:hAnsi="Courier New" w:cs="Courier New" w:hint="default"/>
      </w:rPr>
    </w:lvl>
    <w:lvl w:ilvl="8" w:tplc="0C090005">
      <w:start w:val="1"/>
      <w:numFmt w:val="bullet"/>
      <w:lvlText w:val=""/>
      <w:lvlJc w:val="left"/>
      <w:pPr>
        <w:ind w:left="7380" w:hanging="360"/>
      </w:pPr>
      <w:rPr>
        <w:rFonts w:ascii="Wingdings" w:hAnsi="Wingdings" w:hint="default"/>
      </w:rPr>
    </w:lvl>
  </w:abstractNum>
  <w:abstractNum w:abstractNumId="1" w15:restartNumberingAfterBreak="0">
    <w:nsid w:val="06244EBB"/>
    <w:multiLevelType w:val="hybridMultilevel"/>
    <w:tmpl w:val="5FB63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2C5C82"/>
    <w:multiLevelType w:val="hybridMultilevel"/>
    <w:tmpl w:val="5C80F87C"/>
    <w:lvl w:ilvl="0" w:tplc="B25C0D0A">
      <w:start w:val="1"/>
      <w:numFmt w:val="bullet"/>
      <w:lvlText w:val=""/>
      <w:lvlJc w:val="left"/>
      <w:pPr>
        <w:ind w:left="1620" w:hanging="360"/>
      </w:pPr>
      <w:rPr>
        <w:rFonts w:ascii="Symbol" w:hAnsi="Symbol" w:hint="default"/>
      </w:rPr>
    </w:lvl>
    <w:lvl w:ilvl="1" w:tplc="0C090003">
      <w:start w:val="1"/>
      <w:numFmt w:val="bullet"/>
      <w:lvlText w:val="o"/>
      <w:lvlJc w:val="left"/>
      <w:pPr>
        <w:ind w:left="2340" w:hanging="360"/>
      </w:pPr>
      <w:rPr>
        <w:rFonts w:ascii="Courier New" w:hAnsi="Courier New" w:cs="Courier New" w:hint="default"/>
      </w:rPr>
    </w:lvl>
    <w:lvl w:ilvl="2" w:tplc="0C090005">
      <w:start w:val="1"/>
      <w:numFmt w:val="bullet"/>
      <w:lvlText w:val=""/>
      <w:lvlJc w:val="left"/>
      <w:pPr>
        <w:ind w:left="3060" w:hanging="360"/>
      </w:pPr>
      <w:rPr>
        <w:rFonts w:ascii="Wingdings" w:hAnsi="Wingdings" w:hint="default"/>
      </w:rPr>
    </w:lvl>
    <w:lvl w:ilvl="3" w:tplc="0C090001">
      <w:start w:val="1"/>
      <w:numFmt w:val="bullet"/>
      <w:lvlText w:val=""/>
      <w:lvlJc w:val="left"/>
      <w:pPr>
        <w:ind w:left="3780" w:hanging="360"/>
      </w:pPr>
      <w:rPr>
        <w:rFonts w:ascii="Symbol" w:hAnsi="Symbol" w:hint="default"/>
      </w:rPr>
    </w:lvl>
    <w:lvl w:ilvl="4" w:tplc="0C090003">
      <w:start w:val="1"/>
      <w:numFmt w:val="bullet"/>
      <w:lvlText w:val="o"/>
      <w:lvlJc w:val="left"/>
      <w:pPr>
        <w:ind w:left="4500" w:hanging="360"/>
      </w:pPr>
      <w:rPr>
        <w:rFonts w:ascii="Courier New" w:hAnsi="Courier New" w:cs="Courier New" w:hint="default"/>
      </w:rPr>
    </w:lvl>
    <w:lvl w:ilvl="5" w:tplc="0C090005">
      <w:start w:val="1"/>
      <w:numFmt w:val="bullet"/>
      <w:lvlText w:val=""/>
      <w:lvlJc w:val="left"/>
      <w:pPr>
        <w:ind w:left="5220" w:hanging="360"/>
      </w:pPr>
      <w:rPr>
        <w:rFonts w:ascii="Wingdings" w:hAnsi="Wingdings" w:hint="default"/>
      </w:rPr>
    </w:lvl>
    <w:lvl w:ilvl="6" w:tplc="0C090001">
      <w:start w:val="1"/>
      <w:numFmt w:val="bullet"/>
      <w:lvlText w:val=""/>
      <w:lvlJc w:val="left"/>
      <w:pPr>
        <w:ind w:left="5940" w:hanging="360"/>
      </w:pPr>
      <w:rPr>
        <w:rFonts w:ascii="Symbol" w:hAnsi="Symbol" w:hint="default"/>
      </w:rPr>
    </w:lvl>
    <w:lvl w:ilvl="7" w:tplc="0C090003">
      <w:start w:val="1"/>
      <w:numFmt w:val="bullet"/>
      <w:lvlText w:val="o"/>
      <w:lvlJc w:val="left"/>
      <w:pPr>
        <w:ind w:left="6660" w:hanging="360"/>
      </w:pPr>
      <w:rPr>
        <w:rFonts w:ascii="Courier New" w:hAnsi="Courier New" w:cs="Courier New" w:hint="default"/>
      </w:rPr>
    </w:lvl>
    <w:lvl w:ilvl="8" w:tplc="0C090005">
      <w:start w:val="1"/>
      <w:numFmt w:val="bullet"/>
      <w:lvlText w:val=""/>
      <w:lvlJc w:val="left"/>
      <w:pPr>
        <w:ind w:left="7380" w:hanging="360"/>
      </w:pPr>
      <w:rPr>
        <w:rFonts w:ascii="Wingdings" w:hAnsi="Wingdings" w:hint="default"/>
      </w:rPr>
    </w:lvl>
  </w:abstractNum>
  <w:abstractNum w:abstractNumId="3" w15:restartNumberingAfterBreak="0">
    <w:nsid w:val="07916CD2"/>
    <w:multiLevelType w:val="multilevel"/>
    <w:tmpl w:val="FD4267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510D7"/>
    <w:multiLevelType w:val="multilevel"/>
    <w:tmpl w:val="2F6CA4A0"/>
    <w:numStyleLink w:val="ListBullet"/>
  </w:abstractNum>
  <w:abstractNum w:abstractNumId="5" w15:restartNumberingAfterBreak="0">
    <w:nsid w:val="0DD726A9"/>
    <w:multiLevelType w:val="multilevel"/>
    <w:tmpl w:val="632E4D1C"/>
    <w:styleLink w:val="ListAppendix"/>
    <w:lvl w:ilvl="0">
      <w:start w:val="1"/>
      <w:numFmt w:val="upperLetter"/>
      <w:pStyle w:val="AppendixH1"/>
      <w:lvlText w:val="Appendix %1"/>
      <w:lvlJc w:val="left"/>
      <w:pPr>
        <w:tabs>
          <w:tab w:val="num" w:pos="2268"/>
        </w:tabs>
        <w:ind w:left="2268" w:hanging="2268"/>
      </w:pPr>
      <w:rPr>
        <w:rFonts w:hint="default"/>
      </w:rPr>
    </w:lvl>
    <w:lvl w:ilvl="1">
      <w:start w:val="1"/>
      <w:numFmt w:val="decimal"/>
      <w:pStyle w:val="AppendixH2"/>
      <w:lvlText w:val="%1-%2"/>
      <w:lvlJc w:val="left"/>
      <w:pPr>
        <w:tabs>
          <w:tab w:val="num" w:pos="1134"/>
        </w:tabs>
        <w:ind w:left="1134" w:hanging="1134"/>
      </w:pPr>
      <w:rPr>
        <w:rFonts w:hint="default"/>
      </w:rPr>
    </w:lvl>
    <w:lvl w:ilvl="2">
      <w:start w:val="1"/>
      <w:numFmt w:val="decimal"/>
      <w:pStyle w:val="AppendixH3"/>
      <w:lvlText w:val="%1-%2-%3"/>
      <w:lvlJc w:val="left"/>
      <w:pPr>
        <w:tabs>
          <w:tab w:val="num" w:pos="1134"/>
        </w:tabs>
        <w:ind w:left="1134" w:hanging="113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0EE0FF9"/>
    <w:multiLevelType w:val="hybridMultilevel"/>
    <w:tmpl w:val="FE408ED6"/>
    <w:lvl w:ilvl="0" w:tplc="28188F3E">
      <w:start w:val="1"/>
      <w:numFmt w:val="bullet"/>
      <w:lvlText w:val=""/>
      <w:lvlJc w:val="left"/>
      <w:pPr>
        <w:tabs>
          <w:tab w:val="num" w:pos="720"/>
        </w:tabs>
        <w:ind w:left="720" w:hanging="360"/>
      </w:pPr>
      <w:rPr>
        <w:rFonts w:ascii="Wingdings" w:hAnsi="Wingdings" w:hint="default"/>
        <w:color w:val="35546A"/>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82EA7"/>
    <w:multiLevelType w:val="hybridMultilevel"/>
    <w:tmpl w:val="EEB8C060"/>
    <w:lvl w:ilvl="0" w:tplc="B25C0D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CB97979"/>
    <w:multiLevelType w:val="hybridMultilevel"/>
    <w:tmpl w:val="D5A6CA40"/>
    <w:lvl w:ilvl="0" w:tplc="B25C0D0A">
      <w:start w:val="1"/>
      <w:numFmt w:val="bullet"/>
      <w:lvlText w:val=""/>
      <w:lvlJc w:val="left"/>
      <w:pPr>
        <w:tabs>
          <w:tab w:val="num" w:pos="1797"/>
        </w:tabs>
        <w:ind w:left="1797" w:hanging="357"/>
      </w:pPr>
      <w:rPr>
        <w:rFonts w:ascii="Symbol" w:hAnsi="Symbol" w:hint="default"/>
        <w:color w:val="800000"/>
        <w:sz w:val="20"/>
        <w:szCs w:val="20"/>
      </w:rPr>
    </w:lvl>
    <w:lvl w:ilvl="1" w:tplc="0C090003">
      <w:start w:val="1"/>
      <w:numFmt w:val="bullet"/>
      <w:lvlText w:val="o"/>
      <w:lvlJc w:val="left"/>
      <w:pPr>
        <w:tabs>
          <w:tab w:val="num" w:pos="900"/>
        </w:tabs>
        <w:ind w:left="900" w:hanging="360"/>
      </w:pPr>
      <w:rPr>
        <w:rFonts w:ascii="Courier New" w:hAnsi="Courier New" w:cs="Courier New" w:hint="default"/>
      </w:rPr>
    </w:lvl>
    <w:lvl w:ilvl="2" w:tplc="79E82E04">
      <w:start w:val="7"/>
      <w:numFmt w:val="bullet"/>
      <w:lvlText w:val="-"/>
      <w:lvlJc w:val="left"/>
      <w:pPr>
        <w:tabs>
          <w:tab w:val="num" w:pos="1620"/>
        </w:tabs>
        <w:ind w:left="1620" w:hanging="360"/>
      </w:pPr>
      <w:rPr>
        <w:rFonts w:ascii="Arial" w:eastAsia="Times New Roman" w:hAnsi="Arial" w:cs="Arial" w:hint="default"/>
      </w:rPr>
    </w:lvl>
    <w:lvl w:ilvl="3" w:tplc="0C090005">
      <w:start w:val="1"/>
      <w:numFmt w:val="bullet"/>
      <w:lvlText w:val=""/>
      <w:lvlJc w:val="left"/>
      <w:pPr>
        <w:tabs>
          <w:tab w:val="num" w:pos="2340"/>
        </w:tabs>
        <w:ind w:left="2340" w:hanging="360"/>
      </w:pPr>
      <w:rPr>
        <w:rFonts w:ascii="Wingdings" w:hAnsi="Wingdings" w:hint="default"/>
        <w:color w:val="000000"/>
        <w:sz w:val="20"/>
        <w:szCs w:val="20"/>
      </w:rPr>
    </w:lvl>
    <w:lvl w:ilvl="4" w:tplc="0C090003">
      <w:start w:val="1"/>
      <w:numFmt w:val="bullet"/>
      <w:lvlText w:val="o"/>
      <w:lvlJc w:val="left"/>
      <w:pPr>
        <w:tabs>
          <w:tab w:val="num" w:pos="3060"/>
        </w:tabs>
        <w:ind w:left="3060" w:hanging="360"/>
      </w:pPr>
      <w:rPr>
        <w:rFonts w:ascii="Courier New" w:hAnsi="Courier New" w:cs="Courier New" w:hint="default"/>
      </w:rPr>
    </w:lvl>
    <w:lvl w:ilvl="5" w:tplc="0C090005">
      <w:start w:val="1"/>
      <w:numFmt w:val="bullet"/>
      <w:lvlText w:val=""/>
      <w:lvlJc w:val="left"/>
      <w:pPr>
        <w:tabs>
          <w:tab w:val="num" w:pos="3780"/>
        </w:tabs>
        <w:ind w:left="3780" w:hanging="360"/>
      </w:pPr>
      <w:rPr>
        <w:rFonts w:ascii="Wingdings" w:hAnsi="Wingdings" w:hint="default"/>
      </w:rPr>
    </w:lvl>
    <w:lvl w:ilvl="6" w:tplc="0C090001">
      <w:start w:val="1"/>
      <w:numFmt w:val="bullet"/>
      <w:lvlText w:val=""/>
      <w:lvlJc w:val="left"/>
      <w:pPr>
        <w:tabs>
          <w:tab w:val="num" w:pos="4500"/>
        </w:tabs>
        <w:ind w:left="4500" w:hanging="360"/>
      </w:pPr>
      <w:rPr>
        <w:rFonts w:ascii="Symbol" w:hAnsi="Symbol" w:hint="default"/>
      </w:rPr>
    </w:lvl>
    <w:lvl w:ilvl="7" w:tplc="0C090003">
      <w:start w:val="1"/>
      <w:numFmt w:val="bullet"/>
      <w:lvlText w:val="o"/>
      <w:lvlJc w:val="left"/>
      <w:pPr>
        <w:tabs>
          <w:tab w:val="num" w:pos="5220"/>
        </w:tabs>
        <w:ind w:left="5220" w:hanging="360"/>
      </w:pPr>
      <w:rPr>
        <w:rFonts w:ascii="Courier New" w:hAnsi="Courier New" w:cs="Courier New" w:hint="default"/>
      </w:rPr>
    </w:lvl>
    <w:lvl w:ilvl="8" w:tplc="0C090005">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pPr>
      <w:rPr>
        <w:rFonts w:cs="Times New Roman" w:hint="default"/>
        <w:b/>
        <w:i w:val="0"/>
        <w:color w:val="auto"/>
        <w:sz w:val="20"/>
      </w:rPr>
    </w:lvl>
    <w:lvl w:ilvl="4">
      <w:start w:val="1"/>
      <w:numFmt w:val="none"/>
      <w:lvlRestart w:val="0"/>
      <w:lvlText w:val=""/>
      <w:lvlJc w:val="left"/>
      <w:pPr>
        <w:tabs>
          <w:tab w:val="num" w:pos="-31680"/>
        </w:tabs>
      </w:pPr>
      <w:rPr>
        <w:rFonts w:cs="Times New Roman" w:hint="default"/>
        <w:b/>
        <w:i w:val="0"/>
      </w:rPr>
    </w:lvl>
    <w:lvl w:ilvl="5">
      <w:start w:val="1"/>
      <w:numFmt w:val="none"/>
      <w:lvlRestart w:val="0"/>
      <w:lvlText w:val=""/>
      <w:lvlJc w:val="left"/>
      <w:pPr>
        <w:tabs>
          <w:tab w:val="num" w:pos="-31680"/>
        </w:tabs>
        <w:ind w:left="567" w:hanging="567"/>
      </w:pPr>
      <w:rPr>
        <w:rFonts w:cs="Times New Roman" w:hint="default"/>
        <w:color w:val="auto"/>
      </w:rPr>
    </w:lvl>
    <w:lvl w:ilvl="6">
      <w:start w:val="1"/>
      <w:numFmt w:val="none"/>
      <w:lvlText w:val=""/>
      <w:lvlJc w:val="left"/>
      <w:pPr>
        <w:tabs>
          <w:tab w:val="num" w:pos="-31680"/>
        </w:tabs>
      </w:pPr>
      <w:rPr>
        <w:rFonts w:cs="Times New Roman" w:hint="default"/>
        <w:color w:val="auto"/>
        <w:sz w:val="22"/>
        <w:szCs w:val="22"/>
      </w:rPr>
    </w:lvl>
    <w:lvl w:ilvl="7">
      <w:start w:val="1"/>
      <w:numFmt w:val="none"/>
      <w:lvlRestart w:val="0"/>
      <w:lvlText w:val=""/>
      <w:lvlJc w:val="left"/>
      <w:pPr>
        <w:tabs>
          <w:tab w:val="num" w:pos="-31680"/>
        </w:tabs>
      </w:pPr>
      <w:rPr>
        <w:rFonts w:cs="Times New Roman" w:hint="default"/>
        <w:b w:val="0"/>
        <w:i w:val="0"/>
        <w:color w:val="auto"/>
        <w:sz w:val="16"/>
        <w:szCs w:val="16"/>
      </w:rPr>
    </w:lvl>
    <w:lvl w:ilvl="8">
      <w:start w:val="1"/>
      <w:numFmt w:val="none"/>
      <w:lvlText w:val=""/>
      <w:lvlJc w:val="left"/>
      <w:pPr>
        <w:tabs>
          <w:tab w:val="num" w:pos="-31680"/>
        </w:tabs>
      </w:pPr>
      <w:rPr>
        <w:rFonts w:cs="Times New Roman" w:hint="default"/>
        <w:color w:val="auto"/>
        <w:sz w:val="26"/>
      </w:rPr>
    </w:lvl>
  </w:abstractNum>
  <w:abstractNum w:abstractNumId="15" w15:restartNumberingAfterBreak="0">
    <w:nsid w:val="36E41331"/>
    <w:multiLevelType w:val="hybridMultilevel"/>
    <w:tmpl w:val="557CDA46"/>
    <w:lvl w:ilvl="0" w:tplc="E9727D70">
      <w:start w:val="1"/>
      <w:numFmt w:val="bullet"/>
      <w:lvlText w:val=""/>
      <w:lvlJc w:val="left"/>
      <w:pPr>
        <w:ind w:left="720" w:hanging="360"/>
      </w:pPr>
      <w:rPr>
        <w:rFonts w:ascii="Wingdings" w:hAnsi="Wingdings" w:hint="default"/>
        <w:color w:val="auto"/>
        <w:sz w:val="16"/>
      </w:rPr>
    </w:lvl>
    <w:lvl w:ilvl="1" w:tplc="525E6452">
      <w:numFmt w:val="bullet"/>
      <w:lvlText w:val=""/>
      <w:lvlJc w:val="left"/>
      <w:pPr>
        <w:ind w:left="1440" w:hanging="360"/>
      </w:pPr>
      <w:rPr>
        <w:rFonts w:ascii="Symbol" w:eastAsia="Times New Roman" w:hAnsi="Symbol"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E2D137C"/>
    <w:multiLevelType w:val="hybridMultilevel"/>
    <w:tmpl w:val="424E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Arial" w:hAnsi="Arial" w:hint="default"/>
        <w:color w:val="00A1DE"/>
      </w:rPr>
    </w:lvl>
    <w:lvl w:ilvl="1">
      <w:start w:val="1"/>
      <w:numFmt w:val="decimal"/>
      <w:lvlText w:val="%1.%2"/>
      <w:lvlJc w:val="left"/>
      <w:pPr>
        <w:tabs>
          <w:tab w:val="num" w:pos="1134"/>
        </w:tabs>
        <w:ind w:left="1134" w:hanging="1134"/>
      </w:pPr>
      <w:rPr>
        <w:rFonts w:ascii="Gotham Light" w:hAnsi="Gotham Light" w:hint="default"/>
        <w:color w:val="B6BF00"/>
      </w:rPr>
    </w:lvl>
    <w:lvl w:ilvl="2">
      <w:start w:val="1"/>
      <w:numFmt w:val="decimal"/>
      <w:lvlText w:val="%1.%2.%3"/>
      <w:lvlJc w:val="left"/>
      <w:pPr>
        <w:tabs>
          <w:tab w:val="num" w:pos="1134"/>
        </w:tabs>
        <w:ind w:left="1134" w:hanging="1134"/>
      </w:pPr>
      <w:rPr>
        <w:rFonts w:ascii="Arial" w:hAnsi="Arial" w:hint="default"/>
        <w:color w:val="003591"/>
      </w:rPr>
    </w:lvl>
    <w:lvl w:ilvl="3">
      <w:start w:val="1"/>
      <w:numFmt w:val="decimal"/>
      <w:lvlText w:val="%1.%2.%3.%4"/>
      <w:lvlJc w:val="left"/>
      <w:pPr>
        <w:tabs>
          <w:tab w:val="num" w:pos="1134"/>
        </w:tabs>
        <w:ind w:left="1134" w:hanging="1134"/>
      </w:pPr>
      <w:rPr>
        <w:rFonts w:ascii="Arial" w:hAnsi="Arial" w:hint="default"/>
        <w:color w:val="auto"/>
        <w:sz w:val="18"/>
      </w:rPr>
    </w:lvl>
    <w:lvl w:ilvl="4">
      <w:start w:val="1"/>
      <w:numFmt w:val="decimal"/>
      <w:lvlText w:val="%1.%2.%3.%4.%5"/>
      <w:lvlJc w:val="left"/>
      <w:pPr>
        <w:tabs>
          <w:tab w:val="num" w:pos="1134"/>
        </w:tabs>
        <w:ind w:left="1134" w:hanging="1134"/>
      </w:pPr>
      <w:rPr>
        <w:rFonts w:ascii="Arial" w:hAnsi="Arial" w:hint="default"/>
        <w:color w:val="00A1DE"/>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9" w15:restartNumberingAfterBreak="0">
    <w:nsid w:val="464C0B4D"/>
    <w:multiLevelType w:val="hybridMultilevel"/>
    <w:tmpl w:val="6CAEC518"/>
    <w:lvl w:ilvl="0" w:tplc="B25C0D0A">
      <w:start w:val="1"/>
      <w:numFmt w:val="bullet"/>
      <w:lvlText w:val=""/>
      <w:lvlJc w:val="left"/>
      <w:pPr>
        <w:ind w:left="1620" w:hanging="360"/>
      </w:pPr>
      <w:rPr>
        <w:rFonts w:ascii="Symbol" w:hAnsi="Symbol" w:hint="default"/>
      </w:rPr>
    </w:lvl>
    <w:lvl w:ilvl="1" w:tplc="0C090003">
      <w:start w:val="1"/>
      <w:numFmt w:val="bullet"/>
      <w:lvlText w:val="o"/>
      <w:lvlJc w:val="left"/>
      <w:pPr>
        <w:ind w:left="2340" w:hanging="360"/>
      </w:pPr>
      <w:rPr>
        <w:rFonts w:ascii="Courier New" w:hAnsi="Courier New" w:cs="Courier New" w:hint="default"/>
      </w:rPr>
    </w:lvl>
    <w:lvl w:ilvl="2" w:tplc="0C090005">
      <w:start w:val="1"/>
      <w:numFmt w:val="bullet"/>
      <w:lvlText w:val=""/>
      <w:lvlJc w:val="left"/>
      <w:pPr>
        <w:ind w:left="3060" w:hanging="360"/>
      </w:pPr>
      <w:rPr>
        <w:rFonts w:ascii="Wingdings" w:hAnsi="Wingdings" w:hint="default"/>
      </w:rPr>
    </w:lvl>
    <w:lvl w:ilvl="3" w:tplc="0C090001">
      <w:start w:val="1"/>
      <w:numFmt w:val="bullet"/>
      <w:lvlText w:val=""/>
      <w:lvlJc w:val="left"/>
      <w:pPr>
        <w:ind w:left="3780" w:hanging="360"/>
      </w:pPr>
      <w:rPr>
        <w:rFonts w:ascii="Symbol" w:hAnsi="Symbol" w:hint="default"/>
      </w:rPr>
    </w:lvl>
    <w:lvl w:ilvl="4" w:tplc="0C090003">
      <w:start w:val="1"/>
      <w:numFmt w:val="bullet"/>
      <w:lvlText w:val="o"/>
      <w:lvlJc w:val="left"/>
      <w:pPr>
        <w:ind w:left="4500" w:hanging="360"/>
      </w:pPr>
      <w:rPr>
        <w:rFonts w:ascii="Courier New" w:hAnsi="Courier New" w:cs="Courier New" w:hint="default"/>
      </w:rPr>
    </w:lvl>
    <w:lvl w:ilvl="5" w:tplc="0C090005">
      <w:start w:val="1"/>
      <w:numFmt w:val="bullet"/>
      <w:lvlText w:val=""/>
      <w:lvlJc w:val="left"/>
      <w:pPr>
        <w:ind w:left="5220" w:hanging="360"/>
      </w:pPr>
      <w:rPr>
        <w:rFonts w:ascii="Wingdings" w:hAnsi="Wingdings" w:hint="default"/>
      </w:rPr>
    </w:lvl>
    <w:lvl w:ilvl="6" w:tplc="0C090001">
      <w:start w:val="1"/>
      <w:numFmt w:val="bullet"/>
      <w:lvlText w:val=""/>
      <w:lvlJc w:val="left"/>
      <w:pPr>
        <w:ind w:left="5940" w:hanging="360"/>
      </w:pPr>
      <w:rPr>
        <w:rFonts w:ascii="Symbol" w:hAnsi="Symbol" w:hint="default"/>
      </w:rPr>
    </w:lvl>
    <w:lvl w:ilvl="7" w:tplc="0C090003">
      <w:start w:val="1"/>
      <w:numFmt w:val="bullet"/>
      <w:lvlText w:val="o"/>
      <w:lvlJc w:val="left"/>
      <w:pPr>
        <w:ind w:left="6660" w:hanging="360"/>
      </w:pPr>
      <w:rPr>
        <w:rFonts w:ascii="Courier New" w:hAnsi="Courier New" w:cs="Courier New" w:hint="default"/>
      </w:rPr>
    </w:lvl>
    <w:lvl w:ilvl="8" w:tplc="0C090005">
      <w:start w:val="1"/>
      <w:numFmt w:val="bullet"/>
      <w:lvlText w:val=""/>
      <w:lvlJc w:val="left"/>
      <w:pPr>
        <w:ind w:left="7380" w:hanging="360"/>
      </w:pPr>
      <w:rPr>
        <w:rFonts w:ascii="Wingdings" w:hAnsi="Wingdings" w:hint="default"/>
      </w:rPr>
    </w:lvl>
  </w:abstractNum>
  <w:abstractNum w:abstractNumId="20" w15:restartNumberingAfterBreak="0">
    <w:nsid w:val="4FBE0207"/>
    <w:multiLevelType w:val="hybridMultilevel"/>
    <w:tmpl w:val="08146058"/>
    <w:lvl w:ilvl="0" w:tplc="4B58FA9C">
      <w:start w:val="1"/>
      <w:numFmt w:val="bullet"/>
      <w:lvlText w:val=""/>
      <w:lvlJc w:val="left"/>
      <w:pPr>
        <w:tabs>
          <w:tab w:val="num" w:pos="357"/>
        </w:tabs>
        <w:ind w:left="357" w:hanging="357"/>
      </w:pPr>
      <w:rPr>
        <w:rFonts w:ascii="Wingdings" w:hAnsi="Wingdings" w:hint="default"/>
        <w:color w:val="800000"/>
        <w:sz w:val="20"/>
        <w:szCs w:val="20"/>
      </w:rPr>
    </w:lvl>
    <w:lvl w:ilvl="1" w:tplc="0C090003">
      <w:start w:val="1"/>
      <w:numFmt w:val="bullet"/>
      <w:lvlText w:val="o"/>
      <w:lvlJc w:val="left"/>
      <w:pPr>
        <w:tabs>
          <w:tab w:val="num" w:pos="-540"/>
        </w:tabs>
        <w:ind w:left="-540" w:hanging="360"/>
      </w:pPr>
      <w:rPr>
        <w:rFonts w:ascii="Courier New" w:hAnsi="Courier New" w:cs="Courier New" w:hint="default"/>
      </w:rPr>
    </w:lvl>
    <w:lvl w:ilvl="2" w:tplc="79E82E04">
      <w:start w:val="7"/>
      <w:numFmt w:val="bullet"/>
      <w:lvlText w:val="-"/>
      <w:lvlJc w:val="left"/>
      <w:pPr>
        <w:tabs>
          <w:tab w:val="num" w:pos="180"/>
        </w:tabs>
        <w:ind w:left="180" w:hanging="360"/>
      </w:pPr>
      <w:rPr>
        <w:rFonts w:ascii="Arial" w:eastAsia="Times New Roman" w:hAnsi="Arial" w:cs="Arial" w:hint="default"/>
      </w:rPr>
    </w:lvl>
    <w:lvl w:ilvl="3" w:tplc="0C090005">
      <w:start w:val="1"/>
      <w:numFmt w:val="bullet"/>
      <w:lvlText w:val=""/>
      <w:lvlJc w:val="left"/>
      <w:pPr>
        <w:tabs>
          <w:tab w:val="num" w:pos="900"/>
        </w:tabs>
        <w:ind w:left="900" w:hanging="360"/>
      </w:pPr>
      <w:rPr>
        <w:rFonts w:ascii="Wingdings" w:hAnsi="Wingdings" w:hint="default"/>
        <w:color w:val="000000"/>
        <w:sz w:val="20"/>
        <w:szCs w:val="20"/>
      </w:rPr>
    </w:lvl>
    <w:lvl w:ilvl="4" w:tplc="0C090003">
      <w:start w:val="1"/>
      <w:numFmt w:val="bullet"/>
      <w:lvlText w:val="o"/>
      <w:lvlJc w:val="left"/>
      <w:pPr>
        <w:tabs>
          <w:tab w:val="num" w:pos="1620"/>
        </w:tabs>
        <w:ind w:left="1620" w:hanging="360"/>
      </w:pPr>
      <w:rPr>
        <w:rFonts w:ascii="Courier New" w:hAnsi="Courier New" w:cs="Courier New" w:hint="default"/>
      </w:rPr>
    </w:lvl>
    <w:lvl w:ilvl="5" w:tplc="0C090001">
      <w:start w:val="1"/>
      <w:numFmt w:val="bullet"/>
      <w:lvlText w:val=""/>
      <w:lvlJc w:val="left"/>
      <w:pPr>
        <w:tabs>
          <w:tab w:val="num" w:pos="2340"/>
        </w:tabs>
        <w:ind w:left="2340" w:hanging="360"/>
      </w:pPr>
      <w:rPr>
        <w:rFonts w:ascii="Symbol" w:hAnsi="Symbol" w:hint="default"/>
      </w:rPr>
    </w:lvl>
    <w:lvl w:ilvl="6" w:tplc="0C090001">
      <w:start w:val="1"/>
      <w:numFmt w:val="bullet"/>
      <w:lvlText w:val=""/>
      <w:lvlJc w:val="left"/>
      <w:pPr>
        <w:tabs>
          <w:tab w:val="num" w:pos="3060"/>
        </w:tabs>
        <w:ind w:left="3060" w:hanging="360"/>
      </w:pPr>
      <w:rPr>
        <w:rFonts w:ascii="Symbol" w:hAnsi="Symbol" w:hint="default"/>
      </w:rPr>
    </w:lvl>
    <w:lvl w:ilvl="7" w:tplc="0C090003">
      <w:start w:val="1"/>
      <w:numFmt w:val="bullet"/>
      <w:lvlText w:val="o"/>
      <w:lvlJc w:val="left"/>
      <w:pPr>
        <w:tabs>
          <w:tab w:val="num" w:pos="3780"/>
        </w:tabs>
        <w:ind w:left="3780" w:hanging="360"/>
      </w:pPr>
      <w:rPr>
        <w:rFonts w:ascii="Courier New" w:hAnsi="Courier New" w:cs="Courier New" w:hint="default"/>
      </w:rPr>
    </w:lvl>
    <w:lvl w:ilvl="8" w:tplc="0C090005">
      <w:start w:val="1"/>
      <w:numFmt w:val="bullet"/>
      <w:lvlText w:val=""/>
      <w:lvlJc w:val="left"/>
      <w:pPr>
        <w:tabs>
          <w:tab w:val="num" w:pos="4500"/>
        </w:tabs>
        <w:ind w:left="4500" w:hanging="360"/>
      </w:pPr>
      <w:rPr>
        <w:rFonts w:ascii="Wingdings" w:hAnsi="Wingdings" w:hint="default"/>
      </w:rPr>
    </w:lvl>
  </w:abstractNum>
  <w:abstractNum w:abstractNumId="21" w15:restartNumberingAfterBreak="0">
    <w:nsid w:val="50424335"/>
    <w:multiLevelType w:val="hybridMultilevel"/>
    <w:tmpl w:val="CC5A4392"/>
    <w:lvl w:ilvl="0" w:tplc="E684F940">
      <w:numFmt w:val="bullet"/>
      <w:lvlText w:val="-"/>
      <w:lvlJc w:val="left"/>
      <w:pPr>
        <w:ind w:left="567" w:hanging="360"/>
      </w:pPr>
      <w:rPr>
        <w:rFonts w:ascii="Arial" w:eastAsia="Arial" w:hAnsi="Arial" w:cs="Arial" w:hint="default"/>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22" w15:restartNumberingAfterBreak="0">
    <w:nsid w:val="51D65786"/>
    <w:multiLevelType w:val="hybridMultilevel"/>
    <w:tmpl w:val="0C045520"/>
    <w:lvl w:ilvl="0" w:tplc="B25C0D0A">
      <w:start w:val="1"/>
      <w:numFmt w:val="bullet"/>
      <w:lvlText w:val=""/>
      <w:lvlJc w:val="left"/>
      <w:pPr>
        <w:ind w:left="1620" w:hanging="360"/>
      </w:pPr>
      <w:rPr>
        <w:rFonts w:ascii="Symbol" w:hAnsi="Symbol" w:hint="default"/>
      </w:rPr>
    </w:lvl>
    <w:lvl w:ilvl="1" w:tplc="0C090003">
      <w:start w:val="1"/>
      <w:numFmt w:val="bullet"/>
      <w:lvlText w:val="o"/>
      <w:lvlJc w:val="left"/>
      <w:pPr>
        <w:ind w:left="2340" w:hanging="360"/>
      </w:pPr>
      <w:rPr>
        <w:rFonts w:ascii="Courier New" w:hAnsi="Courier New" w:cs="Courier New" w:hint="default"/>
      </w:rPr>
    </w:lvl>
    <w:lvl w:ilvl="2" w:tplc="0C090005">
      <w:start w:val="1"/>
      <w:numFmt w:val="bullet"/>
      <w:lvlText w:val=""/>
      <w:lvlJc w:val="left"/>
      <w:pPr>
        <w:ind w:left="3060" w:hanging="360"/>
      </w:pPr>
      <w:rPr>
        <w:rFonts w:ascii="Wingdings" w:hAnsi="Wingdings" w:hint="default"/>
      </w:rPr>
    </w:lvl>
    <w:lvl w:ilvl="3" w:tplc="0C090001">
      <w:start w:val="1"/>
      <w:numFmt w:val="bullet"/>
      <w:lvlText w:val=""/>
      <w:lvlJc w:val="left"/>
      <w:pPr>
        <w:ind w:left="3780" w:hanging="360"/>
      </w:pPr>
      <w:rPr>
        <w:rFonts w:ascii="Symbol" w:hAnsi="Symbol" w:hint="default"/>
      </w:rPr>
    </w:lvl>
    <w:lvl w:ilvl="4" w:tplc="0C090003">
      <w:start w:val="1"/>
      <w:numFmt w:val="bullet"/>
      <w:lvlText w:val="o"/>
      <w:lvlJc w:val="left"/>
      <w:pPr>
        <w:ind w:left="4500" w:hanging="360"/>
      </w:pPr>
      <w:rPr>
        <w:rFonts w:ascii="Courier New" w:hAnsi="Courier New" w:cs="Courier New" w:hint="default"/>
      </w:rPr>
    </w:lvl>
    <w:lvl w:ilvl="5" w:tplc="0C090005">
      <w:start w:val="1"/>
      <w:numFmt w:val="bullet"/>
      <w:lvlText w:val=""/>
      <w:lvlJc w:val="left"/>
      <w:pPr>
        <w:ind w:left="5220" w:hanging="360"/>
      </w:pPr>
      <w:rPr>
        <w:rFonts w:ascii="Wingdings" w:hAnsi="Wingdings" w:hint="default"/>
      </w:rPr>
    </w:lvl>
    <w:lvl w:ilvl="6" w:tplc="0C090001">
      <w:start w:val="1"/>
      <w:numFmt w:val="bullet"/>
      <w:lvlText w:val=""/>
      <w:lvlJc w:val="left"/>
      <w:pPr>
        <w:ind w:left="5940" w:hanging="360"/>
      </w:pPr>
      <w:rPr>
        <w:rFonts w:ascii="Symbol" w:hAnsi="Symbol" w:hint="default"/>
      </w:rPr>
    </w:lvl>
    <w:lvl w:ilvl="7" w:tplc="0C090003">
      <w:start w:val="1"/>
      <w:numFmt w:val="bullet"/>
      <w:lvlText w:val="o"/>
      <w:lvlJc w:val="left"/>
      <w:pPr>
        <w:ind w:left="6660" w:hanging="360"/>
      </w:pPr>
      <w:rPr>
        <w:rFonts w:ascii="Courier New" w:hAnsi="Courier New" w:cs="Courier New" w:hint="default"/>
      </w:rPr>
    </w:lvl>
    <w:lvl w:ilvl="8" w:tplc="0C090005">
      <w:start w:val="1"/>
      <w:numFmt w:val="bullet"/>
      <w:lvlText w:val=""/>
      <w:lvlJc w:val="left"/>
      <w:pPr>
        <w:ind w:left="7380" w:hanging="360"/>
      </w:pPr>
      <w:rPr>
        <w:rFonts w:ascii="Wingdings" w:hAnsi="Wingdings" w:hint="default"/>
      </w:rPr>
    </w:lvl>
  </w:abstractNum>
  <w:abstractNum w:abstractNumId="23" w15:restartNumberingAfterBreak="0">
    <w:nsid w:val="52AA0A7D"/>
    <w:multiLevelType w:val="multilevel"/>
    <w:tmpl w:val="E9B44B6A"/>
    <w:numStyleLink w:val="ListParagraph"/>
  </w:abstractNum>
  <w:abstractNum w:abstractNumId="24" w15:restartNumberingAfterBreak="0">
    <w:nsid w:val="54C0204B"/>
    <w:multiLevelType w:val="hybridMultilevel"/>
    <w:tmpl w:val="324E51B8"/>
    <w:lvl w:ilvl="0" w:tplc="B25C0D0A">
      <w:start w:val="1"/>
      <w:numFmt w:val="bullet"/>
      <w:lvlText w:val=""/>
      <w:lvlJc w:val="left"/>
      <w:pPr>
        <w:ind w:left="1620" w:hanging="360"/>
      </w:pPr>
      <w:rPr>
        <w:rFonts w:ascii="Symbol" w:hAnsi="Symbol" w:hint="default"/>
      </w:rPr>
    </w:lvl>
    <w:lvl w:ilvl="1" w:tplc="0C090003">
      <w:start w:val="1"/>
      <w:numFmt w:val="bullet"/>
      <w:lvlText w:val="o"/>
      <w:lvlJc w:val="left"/>
      <w:pPr>
        <w:ind w:left="2340" w:hanging="360"/>
      </w:pPr>
      <w:rPr>
        <w:rFonts w:ascii="Courier New" w:hAnsi="Courier New" w:cs="Courier New" w:hint="default"/>
      </w:rPr>
    </w:lvl>
    <w:lvl w:ilvl="2" w:tplc="0C090005">
      <w:start w:val="1"/>
      <w:numFmt w:val="bullet"/>
      <w:lvlText w:val=""/>
      <w:lvlJc w:val="left"/>
      <w:pPr>
        <w:ind w:left="3060" w:hanging="360"/>
      </w:pPr>
      <w:rPr>
        <w:rFonts w:ascii="Wingdings" w:hAnsi="Wingdings" w:hint="default"/>
      </w:rPr>
    </w:lvl>
    <w:lvl w:ilvl="3" w:tplc="0C090001">
      <w:start w:val="1"/>
      <w:numFmt w:val="bullet"/>
      <w:lvlText w:val=""/>
      <w:lvlJc w:val="left"/>
      <w:pPr>
        <w:ind w:left="3780" w:hanging="360"/>
      </w:pPr>
      <w:rPr>
        <w:rFonts w:ascii="Symbol" w:hAnsi="Symbol" w:hint="default"/>
      </w:rPr>
    </w:lvl>
    <w:lvl w:ilvl="4" w:tplc="0C090003">
      <w:start w:val="1"/>
      <w:numFmt w:val="bullet"/>
      <w:lvlText w:val="o"/>
      <w:lvlJc w:val="left"/>
      <w:pPr>
        <w:ind w:left="4500" w:hanging="360"/>
      </w:pPr>
      <w:rPr>
        <w:rFonts w:ascii="Courier New" w:hAnsi="Courier New" w:cs="Courier New" w:hint="default"/>
      </w:rPr>
    </w:lvl>
    <w:lvl w:ilvl="5" w:tplc="0C090005">
      <w:start w:val="1"/>
      <w:numFmt w:val="bullet"/>
      <w:lvlText w:val=""/>
      <w:lvlJc w:val="left"/>
      <w:pPr>
        <w:ind w:left="5220" w:hanging="360"/>
      </w:pPr>
      <w:rPr>
        <w:rFonts w:ascii="Wingdings" w:hAnsi="Wingdings" w:hint="default"/>
      </w:rPr>
    </w:lvl>
    <w:lvl w:ilvl="6" w:tplc="0C090001">
      <w:start w:val="1"/>
      <w:numFmt w:val="bullet"/>
      <w:lvlText w:val=""/>
      <w:lvlJc w:val="left"/>
      <w:pPr>
        <w:ind w:left="5940" w:hanging="360"/>
      </w:pPr>
      <w:rPr>
        <w:rFonts w:ascii="Symbol" w:hAnsi="Symbol" w:hint="default"/>
      </w:rPr>
    </w:lvl>
    <w:lvl w:ilvl="7" w:tplc="0C090003">
      <w:start w:val="1"/>
      <w:numFmt w:val="bullet"/>
      <w:lvlText w:val="o"/>
      <w:lvlJc w:val="left"/>
      <w:pPr>
        <w:ind w:left="6660" w:hanging="360"/>
      </w:pPr>
      <w:rPr>
        <w:rFonts w:ascii="Courier New" w:hAnsi="Courier New" w:cs="Courier New" w:hint="default"/>
      </w:rPr>
    </w:lvl>
    <w:lvl w:ilvl="8" w:tplc="0C090005">
      <w:start w:val="1"/>
      <w:numFmt w:val="bullet"/>
      <w:lvlText w:val=""/>
      <w:lvlJc w:val="left"/>
      <w:pPr>
        <w:ind w:left="7380" w:hanging="360"/>
      </w:pPr>
      <w:rPr>
        <w:rFonts w:ascii="Wingdings" w:hAnsi="Wingdings" w:hint="default"/>
      </w:rPr>
    </w:lvl>
  </w:abstractNum>
  <w:abstractNum w:abstractNumId="25" w15:restartNumberingAfterBreak="0">
    <w:nsid w:val="6026633F"/>
    <w:multiLevelType w:val="hybridMultilevel"/>
    <w:tmpl w:val="8D78D84C"/>
    <w:lvl w:ilvl="0" w:tplc="B25C0D0A">
      <w:start w:val="1"/>
      <w:numFmt w:val="bullet"/>
      <w:lvlText w:val=""/>
      <w:lvlJc w:val="left"/>
      <w:pPr>
        <w:ind w:left="1620" w:hanging="360"/>
      </w:pPr>
      <w:rPr>
        <w:rFonts w:ascii="Symbol" w:hAnsi="Symbol" w:hint="default"/>
      </w:rPr>
    </w:lvl>
    <w:lvl w:ilvl="1" w:tplc="0C090003">
      <w:start w:val="1"/>
      <w:numFmt w:val="bullet"/>
      <w:lvlText w:val="o"/>
      <w:lvlJc w:val="left"/>
      <w:pPr>
        <w:ind w:left="2340" w:hanging="360"/>
      </w:pPr>
      <w:rPr>
        <w:rFonts w:ascii="Courier New" w:hAnsi="Courier New" w:cs="Courier New" w:hint="default"/>
      </w:rPr>
    </w:lvl>
    <w:lvl w:ilvl="2" w:tplc="0C090005">
      <w:start w:val="1"/>
      <w:numFmt w:val="bullet"/>
      <w:lvlText w:val=""/>
      <w:lvlJc w:val="left"/>
      <w:pPr>
        <w:ind w:left="3060" w:hanging="360"/>
      </w:pPr>
      <w:rPr>
        <w:rFonts w:ascii="Wingdings" w:hAnsi="Wingdings" w:hint="default"/>
      </w:rPr>
    </w:lvl>
    <w:lvl w:ilvl="3" w:tplc="0C090001">
      <w:start w:val="1"/>
      <w:numFmt w:val="bullet"/>
      <w:lvlText w:val=""/>
      <w:lvlJc w:val="left"/>
      <w:pPr>
        <w:ind w:left="3780" w:hanging="360"/>
      </w:pPr>
      <w:rPr>
        <w:rFonts w:ascii="Symbol" w:hAnsi="Symbol" w:hint="default"/>
      </w:rPr>
    </w:lvl>
    <w:lvl w:ilvl="4" w:tplc="0C090003">
      <w:start w:val="1"/>
      <w:numFmt w:val="bullet"/>
      <w:lvlText w:val="o"/>
      <w:lvlJc w:val="left"/>
      <w:pPr>
        <w:ind w:left="4500" w:hanging="360"/>
      </w:pPr>
      <w:rPr>
        <w:rFonts w:ascii="Courier New" w:hAnsi="Courier New" w:cs="Courier New" w:hint="default"/>
      </w:rPr>
    </w:lvl>
    <w:lvl w:ilvl="5" w:tplc="0C090005">
      <w:start w:val="1"/>
      <w:numFmt w:val="bullet"/>
      <w:lvlText w:val=""/>
      <w:lvlJc w:val="left"/>
      <w:pPr>
        <w:ind w:left="5220" w:hanging="360"/>
      </w:pPr>
      <w:rPr>
        <w:rFonts w:ascii="Wingdings" w:hAnsi="Wingdings" w:hint="default"/>
      </w:rPr>
    </w:lvl>
    <w:lvl w:ilvl="6" w:tplc="0C090001">
      <w:start w:val="1"/>
      <w:numFmt w:val="bullet"/>
      <w:lvlText w:val=""/>
      <w:lvlJc w:val="left"/>
      <w:pPr>
        <w:ind w:left="5940" w:hanging="360"/>
      </w:pPr>
      <w:rPr>
        <w:rFonts w:ascii="Symbol" w:hAnsi="Symbol" w:hint="default"/>
      </w:rPr>
    </w:lvl>
    <w:lvl w:ilvl="7" w:tplc="0C090003">
      <w:start w:val="1"/>
      <w:numFmt w:val="bullet"/>
      <w:lvlText w:val="o"/>
      <w:lvlJc w:val="left"/>
      <w:pPr>
        <w:ind w:left="6660" w:hanging="360"/>
      </w:pPr>
      <w:rPr>
        <w:rFonts w:ascii="Courier New" w:hAnsi="Courier New" w:cs="Courier New" w:hint="default"/>
      </w:rPr>
    </w:lvl>
    <w:lvl w:ilvl="8" w:tplc="0C090005">
      <w:start w:val="1"/>
      <w:numFmt w:val="bullet"/>
      <w:lvlText w:val=""/>
      <w:lvlJc w:val="left"/>
      <w:pPr>
        <w:ind w:left="7380" w:hanging="360"/>
      </w:pPr>
      <w:rPr>
        <w:rFonts w:ascii="Wingdings" w:hAnsi="Wingdings" w:hint="default"/>
      </w:rPr>
    </w:lvl>
  </w:abstractNum>
  <w:abstractNum w:abstractNumId="26" w15:restartNumberingAfterBreak="0">
    <w:nsid w:val="614D0124"/>
    <w:multiLevelType w:val="hybridMultilevel"/>
    <w:tmpl w:val="F22C1DD6"/>
    <w:lvl w:ilvl="0" w:tplc="B25C0D0A">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7" w15:restartNumberingAfterBreak="0">
    <w:nsid w:val="685E3329"/>
    <w:multiLevelType w:val="hybridMultilevel"/>
    <w:tmpl w:val="C1E880CC"/>
    <w:lvl w:ilvl="0" w:tplc="B25C0D0A">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8"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9" w15:restartNumberingAfterBreak="0">
    <w:nsid w:val="78CB6006"/>
    <w:multiLevelType w:val="hybridMultilevel"/>
    <w:tmpl w:val="B3F8A896"/>
    <w:lvl w:ilvl="0" w:tplc="028E7A4A">
      <w:start w:val="1"/>
      <w:numFmt w:val="bullet"/>
      <w:lvlText w:val=""/>
      <w:lvlJc w:val="left"/>
      <w:pPr>
        <w:tabs>
          <w:tab w:val="num" w:pos="720"/>
        </w:tabs>
        <w:ind w:left="720" w:hanging="360"/>
      </w:pPr>
      <w:rPr>
        <w:rFonts w:ascii="Wingdings" w:hAnsi="Wingdings" w:hint="default"/>
        <w:color w:val="35546A"/>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7F50CB"/>
    <w:multiLevelType w:val="hybridMultilevel"/>
    <w:tmpl w:val="6EDE9642"/>
    <w:lvl w:ilvl="0" w:tplc="B25C0D0A">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16cid:durableId="615404675">
    <w:abstractNumId w:val="28"/>
  </w:num>
  <w:num w:numId="2" w16cid:durableId="602152375">
    <w:abstractNumId w:val="7"/>
  </w:num>
  <w:num w:numId="3" w16cid:durableId="413281896">
    <w:abstractNumId w:val="16"/>
  </w:num>
  <w:num w:numId="4" w16cid:durableId="77138179">
    <w:abstractNumId w:val="6"/>
  </w:num>
  <w:num w:numId="5" w16cid:durableId="1940795466">
    <w:abstractNumId w:val="23"/>
  </w:num>
  <w:num w:numId="6" w16cid:durableId="1144154764">
    <w:abstractNumId w:val="8"/>
  </w:num>
  <w:num w:numId="7" w16cid:durableId="1033383209">
    <w:abstractNumId w:val="11"/>
  </w:num>
  <w:num w:numId="8" w16cid:durableId="1705056139">
    <w:abstractNumId w:val="12"/>
  </w:num>
  <w:num w:numId="9" w16cid:durableId="179584556">
    <w:abstractNumId w:val="5"/>
  </w:num>
  <w:num w:numId="10" w16cid:durableId="556740070">
    <w:abstractNumId w:val="18"/>
  </w:num>
  <w:num w:numId="11" w16cid:durableId="1342047278">
    <w:abstractNumId w:val="4"/>
  </w:num>
  <w:num w:numId="12" w16cid:durableId="1387529061">
    <w:abstractNumId w:val="17"/>
  </w:num>
  <w:num w:numId="13" w16cid:durableId="399056677">
    <w:abstractNumId w:val="29"/>
  </w:num>
  <w:num w:numId="14" w16cid:durableId="870800370">
    <w:abstractNumId w:val="1"/>
  </w:num>
  <w:num w:numId="15" w16cid:durableId="1831487019">
    <w:abstractNumId w:val="15"/>
  </w:num>
  <w:num w:numId="16" w16cid:durableId="71707367">
    <w:abstractNumId w:val="9"/>
  </w:num>
  <w:num w:numId="17" w16cid:durableId="209340716">
    <w:abstractNumId w:val="14"/>
  </w:num>
  <w:num w:numId="18" w16cid:durableId="1749696072">
    <w:abstractNumId w:val="21"/>
  </w:num>
  <w:num w:numId="19" w16cid:durableId="52781742">
    <w:abstractNumId w:val="3"/>
  </w:num>
  <w:num w:numId="20" w16cid:durableId="947932078">
    <w:abstractNumId w:val="1"/>
  </w:num>
  <w:num w:numId="21" w16cid:durableId="17852384">
    <w:abstractNumId w:val="25"/>
  </w:num>
  <w:num w:numId="22" w16cid:durableId="1655793449">
    <w:abstractNumId w:val="0"/>
  </w:num>
  <w:num w:numId="23" w16cid:durableId="1087381484">
    <w:abstractNumId w:val="24"/>
  </w:num>
  <w:num w:numId="24" w16cid:durableId="1614746287">
    <w:abstractNumId w:val="2"/>
  </w:num>
  <w:num w:numId="25" w16cid:durableId="439954330">
    <w:abstractNumId w:val="19"/>
  </w:num>
  <w:num w:numId="26" w16cid:durableId="373965583">
    <w:abstractNumId w:val="22"/>
  </w:num>
  <w:num w:numId="27" w16cid:durableId="1006909025">
    <w:abstractNumId w:val="20"/>
  </w:num>
  <w:num w:numId="28" w16cid:durableId="1323315552">
    <w:abstractNumId w:val="13"/>
  </w:num>
  <w:num w:numId="29" w16cid:durableId="819082004">
    <w:abstractNumId w:val="30"/>
  </w:num>
  <w:num w:numId="30" w16cid:durableId="1171919471">
    <w:abstractNumId w:val="27"/>
  </w:num>
  <w:num w:numId="31" w16cid:durableId="758258084">
    <w:abstractNumId w:val="0"/>
  </w:num>
  <w:num w:numId="32" w16cid:durableId="1311404345">
    <w:abstractNumId w:val="26"/>
  </w:num>
  <w:num w:numId="33" w16cid:durableId="1483426978">
    <w:abstractNumId w:val="10"/>
  </w:num>
  <w:num w:numId="34" w16cid:durableId="6961732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4E"/>
    <w:rsid w:val="0000054C"/>
    <w:rsid w:val="00005250"/>
    <w:rsid w:val="000142B2"/>
    <w:rsid w:val="000257DD"/>
    <w:rsid w:val="00026381"/>
    <w:rsid w:val="00026DE9"/>
    <w:rsid w:val="000527BA"/>
    <w:rsid w:val="000638C5"/>
    <w:rsid w:val="00064165"/>
    <w:rsid w:val="000A2AB5"/>
    <w:rsid w:val="000B5F0A"/>
    <w:rsid w:val="000C61FA"/>
    <w:rsid w:val="000D29BE"/>
    <w:rsid w:val="000D65EE"/>
    <w:rsid w:val="000E093D"/>
    <w:rsid w:val="000E62EF"/>
    <w:rsid w:val="00116B2A"/>
    <w:rsid w:val="001215B8"/>
    <w:rsid w:val="00127C38"/>
    <w:rsid w:val="001364FD"/>
    <w:rsid w:val="00137E83"/>
    <w:rsid w:val="00137FBA"/>
    <w:rsid w:val="00142153"/>
    <w:rsid w:val="001479BA"/>
    <w:rsid w:val="00154509"/>
    <w:rsid w:val="00155828"/>
    <w:rsid w:val="00163E7F"/>
    <w:rsid w:val="001669FD"/>
    <w:rsid w:val="00167DE9"/>
    <w:rsid w:val="00174E88"/>
    <w:rsid w:val="001927F8"/>
    <w:rsid w:val="001A7224"/>
    <w:rsid w:val="001C7BD5"/>
    <w:rsid w:val="001D33E7"/>
    <w:rsid w:val="001E544B"/>
    <w:rsid w:val="001E6C20"/>
    <w:rsid w:val="00213EA7"/>
    <w:rsid w:val="00215B18"/>
    <w:rsid w:val="00232628"/>
    <w:rsid w:val="00233FC9"/>
    <w:rsid w:val="00272E2D"/>
    <w:rsid w:val="002A3907"/>
    <w:rsid w:val="002C5078"/>
    <w:rsid w:val="002D3993"/>
    <w:rsid w:val="002D74AA"/>
    <w:rsid w:val="002E044E"/>
    <w:rsid w:val="00302FF6"/>
    <w:rsid w:val="003049E6"/>
    <w:rsid w:val="00306E07"/>
    <w:rsid w:val="003101C7"/>
    <w:rsid w:val="00311D2A"/>
    <w:rsid w:val="0031323D"/>
    <w:rsid w:val="0031672F"/>
    <w:rsid w:val="00316BCD"/>
    <w:rsid w:val="00345686"/>
    <w:rsid w:val="00347940"/>
    <w:rsid w:val="00357B71"/>
    <w:rsid w:val="0036693A"/>
    <w:rsid w:val="00382B6C"/>
    <w:rsid w:val="003A48BD"/>
    <w:rsid w:val="003B7A3F"/>
    <w:rsid w:val="003D7891"/>
    <w:rsid w:val="003E036A"/>
    <w:rsid w:val="003E3532"/>
    <w:rsid w:val="003F789E"/>
    <w:rsid w:val="004017F0"/>
    <w:rsid w:val="00410948"/>
    <w:rsid w:val="00422648"/>
    <w:rsid w:val="004358C2"/>
    <w:rsid w:val="0044129B"/>
    <w:rsid w:val="00446BFB"/>
    <w:rsid w:val="00451D5B"/>
    <w:rsid w:val="00461D31"/>
    <w:rsid w:val="0047551F"/>
    <w:rsid w:val="00480C65"/>
    <w:rsid w:val="004A7229"/>
    <w:rsid w:val="004B00B7"/>
    <w:rsid w:val="004D0C14"/>
    <w:rsid w:val="004E2EAF"/>
    <w:rsid w:val="004F547C"/>
    <w:rsid w:val="0050261F"/>
    <w:rsid w:val="0050629E"/>
    <w:rsid w:val="0052610B"/>
    <w:rsid w:val="00552B85"/>
    <w:rsid w:val="00564993"/>
    <w:rsid w:val="0056509E"/>
    <w:rsid w:val="00567DCF"/>
    <w:rsid w:val="005720B9"/>
    <w:rsid w:val="00572D1F"/>
    <w:rsid w:val="005800BE"/>
    <w:rsid w:val="005811D1"/>
    <w:rsid w:val="005971ED"/>
    <w:rsid w:val="005B54F0"/>
    <w:rsid w:val="005B7E6B"/>
    <w:rsid w:val="005C3AA1"/>
    <w:rsid w:val="005C7C74"/>
    <w:rsid w:val="005D0167"/>
    <w:rsid w:val="005D230F"/>
    <w:rsid w:val="005E28C7"/>
    <w:rsid w:val="005E7363"/>
    <w:rsid w:val="006001B8"/>
    <w:rsid w:val="00600593"/>
    <w:rsid w:val="00624C97"/>
    <w:rsid w:val="0062636B"/>
    <w:rsid w:val="00647AF6"/>
    <w:rsid w:val="0065010A"/>
    <w:rsid w:val="006508BC"/>
    <w:rsid w:val="0066192A"/>
    <w:rsid w:val="0066311F"/>
    <w:rsid w:val="006835E0"/>
    <w:rsid w:val="00687C02"/>
    <w:rsid w:val="006A1683"/>
    <w:rsid w:val="006B3962"/>
    <w:rsid w:val="006C0E44"/>
    <w:rsid w:val="006C4FCD"/>
    <w:rsid w:val="006D5405"/>
    <w:rsid w:val="006D7642"/>
    <w:rsid w:val="006F1873"/>
    <w:rsid w:val="006F2DBF"/>
    <w:rsid w:val="006F2EEA"/>
    <w:rsid w:val="007003DE"/>
    <w:rsid w:val="007143E4"/>
    <w:rsid w:val="00714ADA"/>
    <w:rsid w:val="00723663"/>
    <w:rsid w:val="0073495D"/>
    <w:rsid w:val="00734F5E"/>
    <w:rsid w:val="007405A4"/>
    <w:rsid w:val="00741209"/>
    <w:rsid w:val="00757F57"/>
    <w:rsid w:val="00770C25"/>
    <w:rsid w:val="007756D6"/>
    <w:rsid w:val="00787153"/>
    <w:rsid w:val="007A1F3F"/>
    <w:rsid w:val="007B215D"/>
    <w:rsid w:val="007B21CD"/>
    <w:rsid w:val="007B4146"/>
    <w:rsid w:val="007C06F1"/>
    <w:rsid w:val="007C38B8"/>
    <w:rsid w:val="008011C6"/>
    <w:rsid w:val="00802CE9"/>
    <w:rsid w:val="00810D79"/>
    <w:rsid w:val="00820BD2"/>
    <w:rsid w:val="00834296"/>
    <w:rsid w:val="0083684A"/>
    <w:rsid w:val="00837916"/>
    <w:rsid w:val="00844CD8"/>
    <w:rsid w:val="00862690"/>
    <w:rsid w:val="008832DD"/>
    <w:rsid w:val="008836DE"/>
    <w:rsid w:val="00890B9B"/>
    <w:rsid w:val="00891B5F"/>
    <w:rsid w:val="008A5EF4"/>
    <w:rsid w:val="008C110A"/>
    <w:rsid w:val="008C1FE7"/>
    <w:rsid w:val="008D50BA"/>
    <w:rsid w:val="008E2C24"/>
    <w:rsid w:val="008E473D"/>
    <w:rsid w:val="00903AF7"/>
    <w:rsid w:val="0091290E"/>
    <w:rsid w:val="00935303"/>
    <w:rsid w:val="00937746"/>
    <w:rsid w:val="00953967"/>
    <w:rsid w:val="00955424"/>
    <w:rsid w:val="0096154E"/>
    <w:rsid w:val="00962672"/>
    <w:rsid w:val="00966307"/>
    <w:rsid w:val="00971B14"/>
    <w:rsid w:val="00977A85"/>
    <w:rsid w:val="0098071F"/>
    <w:rsid w:val="00981D5D"/>
    <w:rsid w:val="009A606B"/>
    <w:rsid w:val="009E20E4"/>
    <w:rsid w:val="009E2F07"/>
    <w:rsid w:val="009E376F"/>
    <w:rsid w:val="009F2D93"/>
    <w:rsid w:val="009F3881"/>
    <w:rsid w:val="00A11238"/>
    <w:rsid w:val="00A13CD4"/>
    <w:rsid w:val="00A15423"/>
    <w:rsid w:val="00A27DFC"/>
    <w:rsid w:val="00A33F0F"/>
    <w:rsid w:val="00A34437"/>
    <w:rsid w:val="00A36D1D"/>
    <w:rsid w:val="00A50716"/>
    <w:rsid w:val="00A5116C"/>
    <w:rsid w:val="00A55A6B"/>
    <w:rsid w:val="00A62D3C"/>
    <w:rsid w:val="00A7453C"/>
    <w:rsid w:val="00A90F2C"/>
    <w:rsid w:val="00AA6F31"/>
    <w:rsid w:val="00AA74A3"/>
    <w:rsid w:val="00AA751D"/>
    <w:rsid w:val="00AB2F2E"/>
    <w:rsid w:val="00AD0F7D"/>
    <w:rsid w:val="00AD4AF0"/>
    <w:rsid w:val="00AF1FD1"/>
    <w:rsid w:val="00AF6D3C"/>
    <w:rsid w:val="00B025B0"/>
    <w:rsid w:val="00B119B0"/>
    <w:rsid w:val="00B23013"/>
    <w:rsid w:val="00B30147"/>
    <w:rsid w:val="00B35C6A"/>
    <w:rsid w:val="00B479C1"/>
    <w:rsid w:val="00B5088D"/>
    <w:rsid w:val="00B531DD"/>
    <w:rsid w:val="00B7182D"/>
    <w:rsid w:val="00B730F5"/>
    <w:rsid w:val="00B742E4"/>
    <w:rsid w:val="00B91D21"/>
    <w:rsid w:val="00BC610A"/>
    <w:rsid w:val="00BD33D2"/>
    <w:rsid w:val="00BE5724"/>
    <w:rsid w:val="00BF0751"/>
    <w:rsid w:val="00C01916"/>
    <w:rsid w:val="00C15284"/>
    <w:rsid w:val="00C260CC"/>
    <w:rsid w:val="00C41B4E"/>
    <w:rsid w:val="00C4439F"/>
    <w:rsid w:val="00C525BA"/>
    <w:rsid w:val="00C5799F"/>
    <w:rsid w:val="00C61651"/>
    <w:rsid w:val="00C63B87"/>
    <w:rsid w:val="00C72410"/>
    <w:rsid w:val="00C73FBE"/>
    <w:rsid w:val="00CB3AC9"/>
    <w:rsid w:val="00CC03F4"/>
    <w:rsid w:val="00CC047A"/>
    <w:rsid w:val="00CC2808"/>
    <w:rsid w:val="00CC4416"/>
    <w:rsid w:val="00CC6337"/>
    <w:rsid w:val="00CE4778"/>
    <w:rsid w:val="00CE7D6A"/>
    <w:rsid w:val="00D04923"/>
    <w:rsid w:val="00D35ACC"/>
    <w:rsid w:val="00D35D74"/>
    <w:rsid w:val="00D37334"/>
    <w:rsid w:val="00D43D3E"/>
    <w:rsid w:val="00D43E03"/>
    <w:rsid w:val="00D70647"/>
    <w:rsid w:val="00D707E5"/>
    <w:rsid w:val="00D71CE8"/>
    <w:rsid w:val="00D81532"/>
    <w:rsid w:val="00D82918"/>
    <w:rsid w:val="00D82BCA"/>
    <w:rsid w:val="00D85B45"/>
    <w:rsid w:val="00D9169D"/>
    <w:rsid w:val="00D92344"/>
    <w:rsid w:val="00D95EE2"/>
    <w:rsid w:val="00DB0DD8"/>
    <w:rsid w:val="00DB59D9"/>
    <w:rsid w:val="00DB600E"/>
    <w:rsid w:val="00DC7A8E"/>
    <w:rsid w:val="00DD4430"/>
    <w:rsid w:val="00DD70F0"/>
    <w:rsid w:val="00DE1DCD"/>
    <w:rsid w:val="00E235FD"/>
    <w:rsid w:val="00E2686B"/>
    <w:rsid w:val="00E53F75"/>
    <w:rsid w:val="00E70491"/>
    <w:rsid w:val="00E71231"/>
    <w:rsid w:val="00E87A8D"/>
    <w:rsid w:val="00E914DC"/>
    <w:rsid w:val="00EB3276"/>
    <w:rsid w:val="00EE47F8"/>
    <w:rsid w:val="00F00E67"/>
    <w:rsid w:val="00F07AF9"/>
    <w:rsid w:val="00F118C3"/>
    <w:rsid w:val="00F13EBF"/>
    <w:rsid w:val="00F52C42"/>
    <w:rsid w:val="00F62FCC"/>
    <w:rsid w:val="00F647CE"/>
    <w:rsid w:val="00F64E68"/>
    <w:rsid w:val="00F662AF"/>
    <w:rsid w:val="00F76B3C"/>
    <w:rsid w:val="00F77B65"/>
    <w:rsid w:val="00F904D9"/>
    <w:rsid w:val="00FA64D9"/>
    <w:rsid w:val="00FB1630"/>
    <w:rsid w:val="00FB7B3F"/>
    <w:rsid w:val="00FC0BC3"/>
    <w:rsid w:val="00FC7037"/>
    <w:rsid w:val="00FD1621"/>
    <w:rsid w:val="00FD754F"/>
    <w:rsid w:val="00FF09A2"/>
    <w:rsid w:val="00FF0A61"/>
    <w:rsid w:val="00FF5D1A"/>
    <w:rsid w:val="00FF7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45EF79D"/>
  <w15:docId w15:val="{5401185F-29DB-4BEE-A66A-FA3EA1AC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5"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967"/>
    <w:rPr>
      <w:szCs w:val="22"/>
      <w:lang w:eastAsia="en-US"/>
    </w:rPr>
  </w:style>
  <w:style w:type="paragraph" w:styleId="Heading1">
    <w:name w:val="heading 1"/>
    <w:basedOn w:val="Normal"/>
    <w:next w:val="BodyText"/>
    <w:link w:val="Heading1Char"/>
    <w:uiPriority w:val="1"/>
    <w:qFormat/>
    <w:rsid w:val="00345686"/>
    <w:pPr>
      <w:keepNext/>
      <w:keepLines/>
      <w:spacing w:before="480" w:after="240"/>
      <w:outlineLvl w:val="0"/>
    </w:pPr>
    <w:rPr>
      <w:rFonts w:eastAsia="Times New Roman"/>
      <w:b/>
      <w:color w:val="003491"/>
      <w:sz w:val="52"/>
      <w:szCs w:val="32"/>
      <w:lang w:val="en-US"/>
    </w:rPr>
  </w:style>
  <w:style w:type="paragraph" w:styleId="Heading2">
    <w:name w:val="heading 2"/>
    <w:basedOn w:val="Normal"/>
    <w:next w:val="BodyText"/>
    <w:link w:val="Heading2Char"/>
    <w:uiPriority w:val="1"/>
    <w:qFormat/>
    <w:rsid w:val="000142B2"/>
    <w:pPr>
      <w:keepNext/>
      <w:keepLines/>
      <w:spacing w:before="240" w:after="120"/>
      <w:outlineLvl w:val="1"/>
    </w:pPr>
    <w:rPr>
      <w:rFonts w:eastAsia="Times New Roman"/>
      <w:b/>
      <w:color w:val="003491"/>
      <w:sz w:val="40"/>
      <w:szCs w:val="26"/>
    </w:rPr>
  </w:style>
  <w:style w:type="paragraph" w:styleId="Heading3">
    <w:name w:val="heading 3"/>
    <w:basedOn w:val="Normal"/>
    <w:next w:val="BodyText"/>
    <w:link w:val="Heading3Char"/>
    <w:uiPriority w:val="1"/>
    <w:qFormat/>
    <w:rsid w:val="00345686"/>
    <w:pPr>
      <w:keepNext/>
      <w:keepLines/>
      <w:spacing w:before="240" w:after="120"/>
      <w:outlineLvl w:val="2"/>
    </w:pPr>
    <w:rPr>
      <w:rFonts w:eastAsia="Times New Roman"/>
      <w:b/>
      <w:color w:val="00A1DE"/>
      <w:sz w:val="28"/>
      <w:szCs w:val="24"/>
    </w:rPr>
  </w:style>
  <w:style w:type="paragraph" w:styleId="Heading4">
    <w:name w:val="heading 4"/>
    <w:basedOn w:val="Normal"/>
    <w:next w:val="BodyText"/>
    <w:link w:val="Heading4Char"/>
    <w:uiPriority w:val="1"/>
    <w:qFormat/>
    <w:rsid w:val="005E7363"/>
    <w:pPr>
      <w:keepNext/>
      <w:keepLines/>
      <w:spacing w:before="240" w:after="120"/>
      <w:outlineLvl w:val="3"/>
    </w:pPr>
    <w:rPr>
      <w:rFonts w:eastAsia="Times New Roman"/>
      <w:b/>
      <w:iCs/>
    </w:rPr>
  </w:style>
  <w:style w:type="paragraph" w:styleId="Heading5">
    <w:name w:val="heading 5"/>
    <w:basedOn w:val="Normal"/>
    <w:next w:val="BodyText"/>
    <w:link w:val="Heading5Char"/>
    <w:uiPriority w:val="1"/>
    <w:qFormat/>
    <w:rsid w:val="005E7363"/>
    <w:pPr>
      <w:keepNext/>
      <w:keepLines/>
      <w:spacing w:before="240" w:after="120"/>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qFormat/>
    <w:rsid w:val="005E7363"/>
    <w:pPr>
      <w:numPr>
        <w:numId w:val="5"/>
      </w:numPr>
    </w:pPr>
  </w:style>
  <w:style w:type="paragraph" w:customStyle="1" w:styleId="ListParagraph2">
    <w:name w:val="List Paragraph 2"/>
    <w:basedOn w:val="ListParagraph0"/>
    <w:uiPriority w:val="19"/>
    <w:rsid w:val="005E7363"/>
    <w:pPr>
      <w:numPr>
        <w:ilvl w:val="1"/>
      </w:numPr>
    </w:pPr>
  </w:style>
  <w:style w:type="paragraph" w:customStyle="1" w:styleId="ListParagraph3">
    <w:name w:val="List Paragraph 3"/>
    <w:basedOn w:val="ListParagraph0"/>
    <w:uiPriority w:val="19"/>
    <w:rsid w:val="005E7363"/>
    <w:pPr>
      <w:numPr>
        <w:ilvl w:val="2"/>
      </w:numPr>
    </w:pPr>
  </w:style>
  <w:style w:type="paragraph" w:customStyle="1" w:styleId="ListParagraph4">
    <w:name w:val="List Paragraph 4"/>
    <w:basedOn w:val="ListParagraph0"/>
    <w:uiPriority w:val="19"/>
    <w:rsid w:val="005E7363"/>
    <w:pPr>
      <w:numPr>
        <w:ilvl w:val="3"/>
      </w:numPr>
    </w:pPr>
  </w:style>
  <w:style w:type="paragraph" w:customStyle="1" w:styleId="ListParagraph5">
    <w:name w:val="List Paragraph 5"/>
    <w:basedOn w:val="ListParagraph0"/>
    <w:uiPriority w:val="19"/>
    <w:rsid w:val="005E7363"/>
    <w:pPr>
      <w:numPr>
        <w:ilvl w:val="4"/>
      </w:numPr>
    </w:pPr>
  </w:style>
  <w:style w:type="character" w:customStyle="1" w:styleId="Heading1Char">
    <w:name w:val="Heading 1 Char"/>
    <w:link w:val="Heading1"/>
    <w:uiPriority w:val="1"/>
    <w:rsid w:val="00345686"/>
    <w:rPr>
      <w:rFonts w:ascii="Arial" w:eastAsia="Times New Roman" w:hAnsi="Arial" w:cs="Times New Roman"/>
      <w:b/>
      <w:color w:val="003491"/>
      <w:sz w:val="52"/>
      <w:szCs w:val="32"/>
      <w:lang w:val="en-US"/>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link w:val="Heading2"/>
    <w:uiPriority w:val="1"/>
    <w:rsid w:val="000142B2"/>
    <w:rPr>
      <w:rFonts w:ascii="Arial" w:eastAsia="Times New Roman" w:hAnsi="Arial" w:cs="Times New Roman"/>
      <w:b/>
      <w:color w:val="003491"/>
      <w:sz w:val="40"/>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link w:val="Heading3"/>
    <w:uiPriority w:val="1"/>
    <w:rsid w:val="00345686"/>
    <w:rPr>
      <w:rFonts w:ascii="Arial" w:eastAsia="Times New Roman" w:hAnsi="Arial" w:cs="Times New Roman"/>
      <w:b/>
      <w:color w:val="00A1DE"/>
      <w:sz w:val="28"/>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link w:val="Heading4"/>
    <w:uiPriority w:val="1"/>
    <w:rsid w:val="005E7363"/>
    <w:rPr>
      <w:rFonts w:ascii="Arial" w:eastAsia="Times New Roman" w:hAnsi="Arial" w:cs="Times New Roman"/>
      <w:b/>
      <w:iCs/>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link w:val="Heading5"/>
    <w:uiPriority w:val="1"/>
    <w:rsid w:val="005E7363"/>
    <w:rPr>
      <w:rFonts w:ascii="Arial" w:eastAsia="Times New Roman" w:hAnsi="Arial" w:cs="Times New Roman"/>
      <w:i/>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B742E4"/>
    <w:pPr>
      <w:keepNext/>
      <w:tabs>
        <w:tab w:val="left" w:pos="1134"/>
      </w:tabs>
      <w:spacing w:before="240" w:after="120"/>
      <w:ind w:left="1134" w:hanging="1134"/>
      <w:jc w:val="center"/>
    </w:pPr>
    <w:rPr>
      <w:b/>
      <w:iCs/>
      <w:szCs w:val="18"/>
    </w:rPr>
  </w:style>
  <w:style w:type="paragraph" w:customStyle="1" w:styleId="TableCaption">
    <w:name w:val="Table Caption"/>
    <w:basedOn w:val="BodyText"/>
    <w:next w:val="BodyText"/>
    <w:uiPriority w:val="6"/>
    <w:qFormat/>
    <w:rsid w:val="00B742E4"/>
    <w:pPr>
      <w:keepNext/>
      <w:tabs>
        <w:tab w:val="left" w:pos="1134"/>
      </w:tabs>
      <w:spacing w:before="240" w:line="240" w:lineRule="auto"/>
      <w:ind w:left="1134" w:hanging="1134"/>
    </w:pPr>
    <w:rPr>
      <w:b/>
    </w:rPr>
  </w:style>
  <w:style w:type="character" w:styleId="PlaceholderText">
    <w:name w:val="Placeholder Text"/>
    <w:uiPriority w:val="99"/>
    <w:semiHidden/>
    <w:rsid w:val="00834296"/>
    <w:rPr>
      <w:color w:val="808080"/>
    </w:rPr>
  </w:style>
  <w:style w:type="paragraph" w:styleId="BodyText">
    <w:name w:val="Body Text"/>
    <w:basedOn w:val="Normal"/>
    <w:link w:val="BodyTextChar"/>
    <w:qFormat/>
    <w:rsid w:val="00345686"/>
    <w:pPr>
      <w:spacing w:before="120" w:after="120" w:line="252" w:lineRule="auto"/>
    </w:pPr>
    <w:rPr>
      <w:color w:val="000000"/>
    </w:rPr>
  </w:style>
  <w:style w:type="character" w:customStyle="1" w:styleId="BodyTextChar">
    <w:name w:val="Body Text Char"/>
    <w:link w:val="BodyText"/>
    <w:rsid w:val="00345686"/>
    <w:rPr>
      <w:color w:val="000000"/>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tabs>
        <w:tab w:val="clear" w:pos="2550"/>
        <w:tab w:val="num" w:pos="360"/>
      </w:tabs>
      <w:ind w:left="425"/>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qFormat/>
    <w:rsid w:val="00C5799F"/>
    <w:pPr>
      <w:spacing w:before="360" w:after="360"/>
    </w:pPr>
    <w:rPr>
      <w:rFonts w:eastAsia="Times New Roman"/>
      <w:b/>
      <w:color w:val="003491"/>
      <w:spacing w:val="-10"/>
      <w:kern w:val="28"/>
      <w:sz w:val="64"/>
      <w:szCs w:val="56"/>
    </w:rPr>
  </w:style>
  <w:style w:type="character" w:customStyle="1" w:styleId="TitleChar">
    <w:name w:val="Title Char"/>
    <w:link w:val="Title"/>
    <w:uiPriority w:val="10"/>
    <w:rsid w:val="00C5799F"/>
    <w:rPr>
      <w:rFonts w:ascii="Arial" w:eastAsia="Times New Roman" w:hAnsi="Arial" w:cs="Times New Roman"/>
      <w:b/>
      <w:color w:val="003491"/>
      <w:spacing w:val="-10"/>
      <w:kern w:val="28"/>
      <w:sz w:val="64"/>
      <w:szCs w:val="56"/>
    </w:rPr>
  </w:style>
  <w:style w:type="paragraph" w:styleId="Subtitle">
    <w:name w:val="Subtitle"/>
    <w:basedOn w:val="Normal"/>
    <w:next w:val="BodyText"/>
    <w:link w:val="SubtitleChar"/>
    <w:uiPriority w:val="11"/>
    <w:qFormat/>
    <w:rsid w:val="00C5799F"/>
    <w:pPr>
      <w:numPr>
        <w:ilvl w:val="1"/>
      </w:numPr>
      <w:spacing w:before="360" w:after="360"/>
    </w:pPr>
    <w:rPr>
      <w:rFonts w:eastAsia="Times New Roman"/>
      <w:color w:val="00A1DE"/>
      <w:spacing w:val="15"/>
      <w:sz w:val="40"/>
    </w:rPr>
  </w:style>
  <w:style w:type="character" w:customStyle="1" w:styleId="SubtitleChar">
    <w:name w:val="Subtitle Char"/>
    <w:link w:val="Subtitle"/>
    <w:uiPriority w:val="11"/>
    <w:rsid w:val="00C5799F"/>
    <w:rPr>
      <w:rFonts w:eastAsia="Times New Roman"/>
      <w:color w:val="00A1DE"/>
      <w:spacing w:val="15"/>
      <w:sz w:val="40"/>
    </w:rPr>
  </w:style>
  <w:style w:type="paragraph" w:styleId="TOCHeading">
    <w:name w:val="TOC Heading"/>
    <w:basedOn w:val="Heading1"/>
    <w:next w:val="Normal"/>
    <w:uiPriority w:val="39"/>
    <w:qFormat/>
    <w:rsid w:val="00B742E4"/>
    <w:pPr>
      <w:outlineLvl w:val="9"/>
    </w:pPr>
  </w:style>
  <w:style w:type="paragraph" w:styleId="TOC4">
    <w:name w:val="toc 4"/>
    <w:basedOn w:val="TOC1"/>
    <w:next w:val="Normal"/>
    <w:autoRedefine/>
    <w:uiPriority w:val="39"/>
    <w:rsid w:val="00B742E4"/>
    <w:pPr>
      <w:tabs>
        <w:tab w:val="left" w:pos="851"/>
      </w:tabs>
      <w:spacing w:after="100"/>
    </w:pPr>
  </w:style>
  <w:style w:type="paragraph" w:styleId="TOC5">
    <w:name w:val="toc 5"/>
    <w:basedOn w:val="TOC2"/>
    <w:next w:val="Normal"/>
    <w:autoRedefine/>
    <w:uiPriority w:val="39"/>
    <w:rsid w:val="00B742E4"/>
    <w:pPr>
      <w:tabs>
        <w:tab w:val="left" w:pos="851"/>
      </w:tabs>
      <w:spacing w:after="100"/>
    </w:pPr>
  </w:style>
  <w:style w:type="paragraph" w:styleId="TOC1">
    <w:name w:val="toc 1"/>
    <w:basedOn w:val="Normal"/>
    <w:next w:val="Normal"/>
    <w:autoRedefine/>
    <w:uiPriority w:val="39"/>
    <w:rsid w:val="00B742E4"/>
    <w:pPr>
      <w:tabs>
        <w:tab w:val="right" w:leader="dot" w:pos="9639"/>
      </w:tabs>
      <w:spacing w:before="120" w:after="60"/>
    </w:pPr>
    <w:rPr>
      <w:b/>
    </w:rPr>
  </w:style>
  <w:style w:type="paragraph" w:styleId="TOC6">
    <w:name w:val="toc 6"/>
    <w:basedOn w:val="TOC3"/>
    <w:next w:val="Normal"/>
    <w:autoRedefine/>
    <w:uiPriority w:val="39"/>
    <w:rsid w:val="00FC0BC3"/>
    <w:pPr>
      <w:tabs>
        <w:tab w:val="left" w:pos="851"/>
      </w:tabs>
      <w:spacing w:after="100"/>
    </w:pPr>
  </w:style>
  <w:style w:type="paragraph" w:styleId="Quote">
    <w:name w:val="Quote"/>
    <w:basedOn w:val="BodyText"/>
    <w:next w:val="Normal"/>
    <w:link w:val="QuoteChar"/>
    <w:uiPriority w:val="8"/>
    <w:qFormat/>
    <w:rsid w:val="00A34437"/>
    <w:pPr>
      <w:spacing w:before="240" w:after="240"/>
      <w:ind w:left="567" w:right="567"/>
    </w:pPr>
    <w:rPr>
      <w:i/>
      <w:iCs/>
      <w:color w:val="003591"/>
    </w:rPr>
  </w:style>
  <w:style w:type="paragraph" w:styleId="TOC2">
    <w:name w:val="toc 2"/>
    <w:basedOn w:val="Normal"/>
    <w:next w:val="Normal"/>
    <w:autoRedefine/>
    <w:uiPriority w:val="39"/>
    <w:rsid w:val="00B742E4"/>
    <w:pPr>
      <w:tabs>
        <w:tab w:val="right" w:leader="dot" w:pos="9639"/>
      </w:tabs>
      <w:spacing w:before="60" w:after="60"/>
    </w:pPr>
  </w:style>
  <w:style w:type="paragraph" w:styleId="TOC3">
    <w:name w:val="toc 3"/>
    <w:basedOn w:val="Normal"/>
    <w:next w:val="Normal"/>
    <w:autoRedefine/>
    <w:uiPriority w:val="39"/>
    <w:rsid w:val="00B742E4"/>
    <w:pPr>
      <w:tabs>
        <w:tab w:val="right" w:leader="dot" w:pos="9639"/>
      </w:tabs>
      <w:spacing w:before="20" w:after="20"/>
    </w:pPr>
  </w:style>
  <w:style w:type="character" w:customStyle="1" w:styleId="QuoteChar">
    <w:name w:val="Quote Char"/>
    <w:link w:val="Quote"/>
    <w:uiPriority w:val="8"/>
    <w:rsid w:val="00A34437"/>
    <w:rPr>
      <w:i/>
      <w:iCs/>
      <w:color w:val="003591"/>
    </w:rPr>
  </w:style>
  <w:style w:type="paragraph" w:styleId="Footer">
    <w:name w:val="footer"/>
    <w:basedOn w:val="Normal"/>
    <w:link w:val="FooterChar"/>
    <w:uiPriority w:val="99"/>
    <w:rsid w:val="00CE4778"/>
    <w:pPr>
      <w:tabs>
        <w:tab w:val="center" w:pos="4513"/>
        <w:tab w:val="right" w:pos="9026"/>
      </w:tabs>
    </w:pPr>
    <w:rPr>
      <w:b/>
      <w:color w:val="003591"/>
      <w:sz w:val="16"/>
    </w:rPr>
  </w:style>
  <w:style w:type="character" w:customStyle="1" w:styleId="FooterChar">
    <w:name w:val="Footer Char"/>
    <w:link w:val="Footer"/>
    <w:uiPriority w:val="99"/>
    <w:rsid w:val="00CE4778"/>
    <w:rPr>
      <w:b/>
      <w:color w:val="003591"/>
      <w:sz w:val="16"/>
    </w:rPr>
  </w:style>
  <w:style w:type="paragraph" w:styleId="Header">
    <w:name w:val="header"/>
    <w:basedOn w:val="Normal"/>
    <w:link w:val="HeaderChar"/>
    <w:uiPriority w:val="99"/>
    <w:rsid w:val="00A34437"/>
    <w:pPr>
      <w:tabs>
        <w:tab w:val="center" w:pos="4513"/>
        <w:tab w:val="right" w:pos="9026"/>
      </w:tabs>
    </w:pPr>
    <w:rPr>
      <w:sz w:val="18"/>
    </w:rPr>
  </w:style>
  <w:style w:type="character" w:customStyle="1" w:styleId="HeaderChar">
    <w:name w:val="Header Char"/>
    <w:link w:val="Header"/>
    <w:uiPriority w:val="99"/>
    <w:rsid w:val="00A34437"/>
    <w:rPr>
      <w:sz w:val="18"/>
    </w:rPr>
  </w:style>
  <w:style w:type="table" w:styleId="TableGrid">
    <w:name w:val="Table Grid"/>
    <w:aliases w:val="Table No Border"/>
    <w:basedOn w:val="TableNormal"/>
    <w:uiPriority w:val="39"/>
    <w:rsid w:val="00A34437"/>
    <w:tblPr>
      <w:tblCellMar>
        <w:left w:w="0" w:type="dxa"/>
        <w:right w:w="0" w:type="dxa"/>
      </w:tblCellMar>
    </w:tblPr>
  </w:style>
  <w:style w:type="table" w:customStyle="1" w:styleId="OceanTable">
    <w:name w:val="Ocean Table"/>
    <w:basedOn w:val="TableNormal"/>
    <w:uiPriority w:val="99"/>
    <w:rsid w:val="000E093D"/>
    <w:tblPr>
      <w:tblStyleRowBandSize w:val="1"/>
      <w:tblStyleColBandSize w:val="1"/>
      <w:tblBorders>
        <w:top w:val="single" w:sz="4" w:space="0" w:color="001A48"/>
        <w:left w:val="single" w:sz="4" w:space="0" w:color="001A48"/>
        <w:bottom w:val="single" w:sz="4" w:space="0" w:color="001A48"/>
        <w:right w:val="single" w:sz="4" w:space="0" w:color="001A48"/>
        <w:insideH w:val="single" w:sz="4" w:space="0" w:color="001A48"/>
        <w:insideV w:val="single" w:sz="4" w:space="0" w:color="001A48"/>
      </w:tblBorders>
      <w:tblCellMar>
        <w:left w:w="0" w:type="dxa"/>
        <w:right w:w="0" w:type="dxa"/>
      </w:tblCellMar>
    </w:tblPr>
    <w:tblStylePr w:type="firstRow">
      <w:tblPr/>
      <w:tcPr>
        <w:shd w:val="clear" w:color="auto" w:fill="003591"/>
      </w:tcPr>
    </w:tblStylePr>
    <w:tblStylePr w:type="lastRow">
      <w:tblPr/>
      <w:tcPr>
        <w:shd w:val="clear" w:color="auto" w:fill="F2F2F2"/>
      </w:tcPr>
    </w:tblStylePr>
    <w:tblStylePr w:type="firstCol">
      <w:tblPr/>
      <w:tcPr>
        <w:shd w:val="clear" w:color="auto" w:fill="003591"/>
      </w:tcPr>
    </w:tblStylePr>
    <w:tblStylePr w:type="lastCol">
      <w:tblPr/>
      <w:tcPr>
        <w:shd w:val="clear" w:color="auto" w:fill="F2F2F2"/>
      </w:tcPr>
    </w:tblStylePr>
    <w:tblStylePr w:type="band2Vert">
      <w:tblPr/>
      <w:tcPr>
        <w:shd w:val="clear" w:color="auto" w:fill="F2F2F2"/>
      </w:tcPr>
    </w:tblStylePr>
    <w:tblStylePr w:type="band2Horz">
      <w:tblPr/>
      <w:tcPr>
        <w:shd w:val="clear" w:color="auto" w:fill="F2F2F2"/>
      </w:tcPr>
    </w:tblStylePr>
  </w:style>
  <w:style w:type="table" w:customStyle="1" w:styleId="ReefTable">
    <w:name w:val="Reef Table"/>
    <w:basedOn w:val="TableNormal"/>
    <w:uiPriority w:val="99"/>
    <w:rsid w:val="000E093D"/>
    <w:tblPr>
      <w:tblStyleRowBandSize w:val="1"/>
      <w:tblStyleColBandSize w:val="1"/>
      <w:tblBorders>
        <w:top w:val="single" w:sz="4" w:space="0" w:color="00506F"/>
        <w:left w:val="single" w:sz="4" w:space="0" w:color="00506F"/>
        <w:bottom w:val="single" w:sz="4" w:space="0" w:color="00506F"/>
        <w:right w:val="single" w:sz="4" w:space="0" w:color="00506F"/>
        <w:insideH w:val="single" w:sz="4" w:space="0" w:color="00506F"/>
        <w:insideV w:val="single" w:sz="4" w:space="0" w:color="00506F"/>
      </w:tblBorders>
      <w:tblCellMar>
        <w:left w:w="0" w:type="dxa"/>
        <w:right w:w="0" w:type="dxa"/>
      </w:tblCellMar>
    </w:tblPr>
    <w:tblStylePr w:type="firstRow">
      <w:rPr>
        <w:color w:val="FFFFFF"/>
      </w:rPr>
      <w:tblPr/>
      <w:tcPr>
        <w:shd w:val="clear" w:color="auto" w:fill="00A1DE"/>
      </w:tcPr>
    </w:tblStylePr>
    <w:tblStylePr w:type="lastRow">
      <w:tblPr/>
      <w:tcPr>
        <w:shd w:val="clear" w:color="auto" w:fill="F2F2F2"/>
      </w:tcPr>
    </w:tblStylePr>
    <w:tblStylePr w:type="firstCol">
      <w:rPr>
        <w:color w:val="FFFFFF"/>
      </w:rPr>
      <w:tblPr/>
      <w:tcPr>
        <w:shd w:val="clear" w:color="auto" w:fill="00A1DE"/>
      </w:tcPr>
    </w:tblStylePr>
    <w:tblStylePr w:type="lastCol">
      <w:tblPr/>
      <w:tcPr>
        <w:shd w:val="clear" w:color="auto" w:fill="F2F2F2"/>
      </w:tcPr>
    </w:tblStylePr>
    <w:tblStylePr w:type="band2Vert">
      <w:tblPr/>
      <w:tcPr>
        <w:shd w:val="clear" w:color="auto" w:fill="F2F2F2"/>
      </w:tcPr>
    </w:tblStylePr>
    <w:tblStylePr w:type="band2Horz">
      <w:tblPr/>
      <w:tcPr>
        <w:shd w:val="clear" w:color="auto" w:fill="F2F2F2"/>
      </w:tcPr>
    </w:tblStylePr>
  </w:style>
  <w:style w:type="table" w:customStyle="1" w:styleId="PalmTable">
    <w:name w:val="Palm Table"/>
    <w:basedOn w:val="TableNormal"/>
    <w:uiPriority w:val="99"/>
    <w:rsid w:val="003F789E"/>
    <w:tblPr>
      <w:tblStyleRowBandSize w:val="1"/>
      <w:tblStyleColBandSize w:val="1"/>
      <w:tblBorders>
        <w:top w:val="single" w:sz="4" w:space="0" w:color="5A5F00"/>
        <w:left w:val="single" w:sz="4" w:space="0" w:color="5A5F00"/>
        <w:bottom w:val="single" w:sz="4" w:space="0" w:color="5A5F00"/>
        <w:right w:val="single" w:sz="4" w:space="0" w:color="5A5F00"/>
        <w:insideH w:val="single" w:sz="4" w:space="0" w:color="5A5F00"/>
        <w:insideV w:val="single" w:sz="4" w:space="0" w:color="5A5F00"/>
      </w:tblBorders>
      <w:tblCellMar>
        <w:left w:w="0" w:type="dxa"/>
        <w:right w:w="0" w:type="dxa"/>
      </w:tblCellMar>
    </w:tblPr>
    <w:tblStylePr w:type="firstRow">
      <w:tblPr/>
      <w:tcPr>
        <w:shd w:val="clear" w:color="auto" w:fill="B6BF00"/>
      </w:tcPr>
    </w:tblStylePr>
    <w:tblStylePr w:type="lastRow">
      <w:tblPr/>
      <w:tcPr>
        <w:shd w:val="clear" w:color="auto" w:fill="F2F2F2"/>
      </w:tcPr>
    </w:tblStylePr>
    <w:tblStylePr w:type="firstCol">
      <w:tblPr/>
      <w:tcPr>
        <w:shd w:val="clear" w:color="auto" w:fill="B6BF00"/>
      </w:tcPr>
    </w:tblStylePr>
    <w:tblStylePr w:type="lastCol">
      <w:tblPr/>
      <w:tcPr>
        <w:shd w:val="clear" w:color="auto" w:fill="F2F2F2"/>
      </w:tcPr>
    </w:tblStylePr>
    <w:tblStylePr w:type="band2Vert">
      <w:tblPr/>
      <w:tcPr>
        <w:shd w:val="clear" w:color="auto" w:fill="F2F2F2"/>
      </w:tcPr>
    </w:tblStylePr>
    <w:tblStylePr w:type="band2Horz">
      <w:tblPr/>
      <w:tcPr>
        <w:shd w:val="clear" w:color="auto" w:fill="F2F2F2"/>
      </w:tcPr>
    </w:tblStylePr>
  </w:style>
  <w:style w:type="table" w:customStyle="1" w:styleId="PineTable">
    <w:name w:val="Pine Table"/>
    <w:basedOn w:val="TableNormal"/>
    <w:uiPriority w:val="99"/>
    <w:rsid w:val="003F789E"/>
    <w:tblPr>
      <w:tblStyleRowBandSize w:val="1"/>
      <w:tblStyleColBandSize w:val="1"/>
      <w:tblBorders>
        <w:top w:val="single" w:sz="4" w:space="0" w:color="003D26"/>
        <w:left w:val="single" w:sz="4" w:space="0" w:color="003D26"/>
        <w:bottom w:val="single" w:sz="4" w:space="0" w:color="003D26"/>
        <w:right w:val="single" w:sz="4" w:space="0" w:color="003D26"/>
        <w:insideH w:val="single" w:sz="4" w:space="0" w:color="003D26"/>
        <w:insideV w:val="single" w:sz="4" w:space="0" w:color="003D26"/>
      </w:tblBorders>
      <w:tblCellMar>
        <w:left w:w="0" w:type="dxa"/>
        <w:right w:w="0" w:type="dxa"/>
      </w:tblCellMar>
    </w:tblPr>
    <w:tblStylePr w:type="firstRow">
      <w:rPr>
        <w:color w:val="FFFFFF"/>
      </w:rPr>
      <w:tblPr/>
      <w:tcPr>
        <w:shd w:val="clear" w:color="auto" w:fill="007A4D"/>
      </w:tcPr>
    </w:tblStylePr>
    <w:tblStylePr w:type="lastRow">
      <w:tblPr/>
      <w:tcPr>
        <w:shd w:val="clear" w:color="auto" w:fill="F2F2F2"/>
      </w:tcPr>
    </w:tblStylePr>
    <w:tblStylePr w:type="firstCol">
      <w:rPr>
        <w:color w:val="FFFFFF"/>
      </w:rPr>
      <w:tblPr/>
      <w:tcPr>
        <w:shd w:val="clear" w:color="auto" w:fill="007A4D"/>
      </w:tcPr>
    </w:tblStylePr>
    <w:tblStylePr w:type="lastCol">
      <w:tblPr/>
      <w:tcPr>
        <w:shd w:val="clear" w:color="auto" w:fill="F2F2F2"/>
      </w:tcPr>
    </w:tblStylePr>
    <w:tblStylePr w:type="band2Vert">
      <w:tblPr/>
      <w:tcPr>
        <w:shd w:val="clear" w:color="auto" w:fill="F2F2F2"/>
      </w:tcPr>
    </w:tblStylePr>
    <w:tblStylePr w:type="band2Horz">
      <w:tblPr/>
      <w:tcPr>
        <w:shd w:val="clear" w:color="auto" w:fill="F2F2F2"/>
      </w:tcPr>
    </w:tblStylePr>
  </w:style>
  <w:style w:type="table" w:customStyle="1" w:styleId="SunTable">
    <w:name w:val="Sun Table"/>
    <w:basedOn w:val="TableNormal"/>
    <w:uiPriority w:val="99"/>
    <w:rsid w:val="003F789E"/>
    <w:tblPr>
      <w:tblStyleRowBandSize w:val="1"/>
      <w:tblStyleColBandSize w:val="1"/>
      <w:tblBorders>
        <w:top w:val="single" w:sz="4" w:space="0" w:color="755B00"/>
        <w:left w:val="single" w:sz="4" w:space="0" w:color="755B00"/>
        <w:bottom w:val="single" w:sz="4" w:space="0" w:color="755B00"/>
        <w:right w:val="single" w:sz="4" w:space="0" w:color="755B00"/>
        <w:insideH w:val="single" w:sz="4" w:space="0" w:color="755B00"/>
        <w:insideV w:val="single" w:sz="4" w:space="0" w:color="755B00"/>
      </w:tblBorders>
      <w:tblCellMar>
        <w:left w:w="0" w:type="dxa"/>
        <w:right w:w="0" w:type="dxa"/>
      </w:tblCellMar>
    </w:tblPr>
    <w:tblStylePr w:type="firstRow">
      <w:tblPr/>
      <w:tcPr>
        <w:shd w:val="clear" w:color="auto" w:fill="EBB700"/>
      </w:tcPr>
    </w:tblStylePr>
    <w:tblStylePr w:type="lastRow">
      <w:tblPr/>
      <w:tcPr>
        <w:shd w:val="clear" w:color="auto" w:fill="F2F2F2"/>
      </w:tcPr>
    </w:tblStylePr>
    <w:tblStylePr w:type="firstCol">
      <w:tblPr/>
      <w:tcPr>
        <w:shd w:val="clear" w:color="auto" w:fill="EBB700"/>
      </w:tcPr>
    </w:tblStylePr>
    <w:tblStylePr w:type="lastCol">
      <w:tblPr/>
      <w:tcPr>
        <w:shd w:val="clear" w:color="auto" w:fill="F2F2F2"/>
      </w:tcPr>
    </w:tblStylePr>
    <w:tblStylePr w:type="band2Vert">
      <w:tblPr/>
      <w:tcPr>
        <w:shd w:val="clear" w:color="auto" w:fill="F2F2F2"/>
      </w:tcPr>
    </w:tblStylePr>
    <w:tblStylePr w:type="band2Horz">
      <w:tblPr/>
      <w:tcPr>
        <w:shd w:val="clear" w:color="auto" w:fill="F2F2F2"/>
      </w:tcPr>
    </w:tblStylePr>
  </w:style>
  <w:style w:type="table" w:customStyle="1" w:styleId="EarthTable">
    <w:name w:val="Earth Table"/>
    <w:basedOn w:val="TableNormal"/>
    <w:uiPriority w:val="99"/>
    <w:rsid w:val="003F789E"/>
    <w:tblPr>
      <w:tblStyleRowBandSize w:val="1"/>
      <w:tblStyleColBandSize w:val="1"/>
      <w:tblBorders>
        <w:top w:val="single" w:sz="4" w:space="0" w:color="622500"/>
        <w:left w:val="single" w:sz="4" w:space="0" w:color="622500"/>
        <w:bottom w:val="single" w:sz="4" w:space="0" w:color="622500"/>
        <w:right w:val="single" w:sz="4" w:space="0" w:color="622500"/>
        <w:insideH w:val="single" w:sz="4" w:space="0" w:color="622500"/>
        <w:insideV w:val="single" w:sz="4" w:space="0" w:color="622500"/>
      </w:tblBorders>
      <w:tblCellMar>
        <w:left w:w="0" w:type="dxa"/>
        <w:right w:w="0" w:type="dxa"/>
      </w:tblCellMar>
    </w:tblPr>
    <w:tblStylePr w:type="firstRow">
      <w:rPr>
        <w:color w:val="FFFFFF"/>
      </w:rPr>
      <w:tblPr/>
      <w:tcPr>
        <w:shd w:val="clear" w:color="auto" w:fill="C54C00"/>
      </w:tcPr>
    </w:tblStylePr>
    <w:tblStylePr w:type="lastRow">
      <w:tblPr/>
      <w:tcPr>
        <w:shd w:val="clear" w:color="auto" w:fill="F2F2F2"/>
      </w:tcPr>
    </w:tblStylePr>
    <w:tblStylePr w:type="firstCol">
      <w:rPr>
        <w:color w:val="FFFFFF"/>
      </w:rPr>
      <w:tblPr/>
      <w:tcPr>
        <w:shd w:val="clear" w:color="auto" w:fill="C54C00"/>
      </w:tcPr>
    </w:tblStylePr>
    <w:tblStylePr w:type="lastCol">
      <w:tblPr/>
      <w:tcPr>
        <w:shd w:val="clear" w:color="auto" w:fill="F2F2F2"/>
      </w:tcPr>
    </w:tblStylePr>
    <w:tblStylePr w:type="band2Vert">
      <w:tblPr/>
      <w:tcPr>
        <w:shd w:val="clear" w:color="auto" w:fill="F2F2F2"/>
      </w:tcPr>
    </w:tblStylePr>
    <w:tblStylePr w:type="band2Horz">
      <w:tblPr/>
      <w:tcPr>
        <w:shd w:val="clear" w:color="auto" w:fill="F2F2F2"/>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rsid w:val="00C5799F"/>
    <w:pPr>
      <w:spacing w:before="240" w:after="240" w:line="264" w:lineRule="auto"/>
    </w:pPr>
    <w:rPr>
      <w:b/>
      <w:color w:val="003591"/>
      <w:sz w:val="32"/>
    </w:rPr>
  </w:style>
  <w:style w:type="paragraph" w:customStyle="1" w:styleId="AppendixH1">
    <w:name w:val="Appendix H1"/>
    <w:basedOn w:val="Heading1"/>
    <w:next w:val="BodyText"/>
    <w:uiPriority w:val="14"/>
    <w:semiHidden/>
    <w:qFormat/>
    <w:rsid w:val="00862690"/>
    <w:pPr>
      <w:pageBreakBefore/>
      <w:numPr>
        <w:numId w:val="9"/>
      </w:numPr>
    </w:pPr>
  </w:style>
  <w:style w:type="paragraph" w:customStyle="1" w:styleId="AppendixH2">
    <w:name w:val="Appendix H2"/>
    <w:basedOn w:val="Heading2"/>
    <w:next w:val="BodyText"/>
    <w:uiPriority w:val="14"/>
    <w:semiHidden/>
    <w:qFormat/>
    <w:rsid w:val="00E87A8D"/>
    <w:pPr>
      <w:numPr>
        <w:ilvl w:val="1"/>
        <w:numId w:val="9"/>
      </w:numPr>
    </w:pPr>
  </w:style>
  <w:style w:type="paragraph" w:customStyle="1" w:styleId="AppendixH3">
    <w:name w:val="Appendix H3"/>
    <w:basedOn w:val="Heading3"/>
    <w:next w:val="BodyText"/>
    <w:uiPriority w:val="14"/>
    <w:semiHidden/>
    <w:qFormat/>
    <w:rsid w:val="00E87A8D"/>
    <w:pPr>
      <w:numPr>
        <w:ilvl w:val="2"/>
        <w:numId w:val="9"/>
      </w:numPr>
    </w:pPr>
  </w:style>
  <w:style w:type="numbering" w:customStyle="1" w:styleId="ListAppendix">
    <w:name w:val="List_Appendix"/>
    <w:uiPriority w:val="99"/>
    <w:rsid w:val="00E87A8D"/>
    <w:pPr>
      <w:numPr>
        <w:numId w:val="9"/>
      </w:numPr>
    </w:pPr>
  </w:style>
  <w:style w:type="paragraph" w:styleId="TOC8">
    <w:name w:val="toc 8"/>
    <w:basedOn w:val="TOC2"/>
    <w:next w:val="Normal"/>
    <w:autoRedefine/>
    <w:uiPriority w:val="39"/>
    <w:rsid w:val="00B742E4"/>
    <w:pPr>
      <w:tabs>
        <w:tab w:val="left" w:pos="1701"/>
      </w:tabs>
    </w:pPr>
  </w:style>
  <w:style w:type="paragraph" w:styleId="TableofFigures">
    <w:name w:val="table of figures"/>
    <w:basedOn w:val="Normal"/>
    <w:next w:val="Normal"/>
    <w:uiPriority w:val="99"/>
    <w:unhideWhenUsed/>
    <w:rsid w:val="00B742E4"/>
    <w:pPr>
      <w:tabs>
        <w:tab w:val="left" w:pos="1134"/>
        <w:tab w:val="right" w:leader="dot" w:pos="9628"/>
      </w:tabs>
      <w:spacing w:before="60" w:after="60"/>
      <w:ind w:left="1134" w:hanging="1134"/>
    </w:pPr>
  </w:style>
  <w:style w:type="character" w:styleId="Hyperlink">
    <w:name w:val="Hyperlink"/>
    <w:uiPriority w:val="99"/>
    <w:rsid w:val="00B742E4"/>
    <w:rPr>
      <w:color w:val="234089"/>
      <w:u w:val="single"/>
    </w:rPr>
  </w:style>
  <w:style w:type="numbering" w:customStyle="1" w:styleId="ListNumberedHeadings">
    <w:name w:val="List_NumberedHeadings"/>
    <w:uiPriority w:val="99"/>
    <w:rsid w:val="006C0E44"/>
    <w:pPr>
      <w:numPr>
        <w:numId w:val="10"/>
      </w:numPr>
    </w:pPr>
  </w:style>
  <w:style w:type="paragraph" w:customStyle="1" w:styleId="IntroParagraph">
    <w:name w:val="Intro Paragraph"/>
    <w:basedOn w:val="Normal"/>
    <w:next w:val="BodyText"/>
    <w:qFormat/>
    <w:rsid w:val="00345686"/>
    <w:pPr>
      <w:spacing w:before="240" w:after="240" w:line="288" w:lineRule="auto"/>
    </w:pPr>
    <w:rPr>
      <w:b/>
      <w:color w:val="00A1DE"/>
      <w:sz w:val="28"/>
      <w:szCs w:val="28"/>
      <w:lang w:val="en-US"/>
    </w:rPr>
  </w:style>
  <w:style w:type="paragraph" w:styleId="BalloonText">
    <w:name w:val="Balloon Text"/>
    <w:basedOn w:val="Normal"/>
    <w:link w:val="BalloonTextChar"/>
    <w:uiPriority w:val="99"/>
    <w:semiHidden/>
    <w:unhideWhenUsed/>
    <w:rsid w:val="002D74AA"/>
    <w:rPr>
      <w:rFonts w:ascii="Segoe UI" w:hAnsi="Segoe UI" w:cs="Segoe UI"/>
      <w:sz w:val="18"/>
      <w:szCs w:val="18"/>
    </w:rPr>
  </w:style>
  <w:style w:type="character" w:customStyle="1" w:styleId="BalloonTextChar">
    <w:name w:val="Balloon Text Char"/>
    <w:link w:val="BalloonText"/>
    <w:uiPriority w:val="99"/>
    <w:semiHidden/>
    <w:rsid w:val="002D74AA"/>
    <w:rPr>
      <w:rFonts w:ascii="Segoe UI" w:hAnsi="Segoe UI" w:cs="Segoe UI"/>
      <w:sz w:val="18"/>
      <w:szCs w:val="18"/>
    </w:rPr>
  </w:style>
  <w:style w:type="paragraph" w:customStyle="1" w:styleId="ListBulletWhite">
    <w:name w:val="List Bullet White"/>
    <w:basedOn w:val="Normal"/>
    <w:uiPriority w:val="99"/>
    <w:rsid w:val="009E2F07"/>
    <w:pPr>
      <w:numPr>
        <w:numId w:val="17"/>
      </w:numPr>
      <w:spacing w:before="60" w:after="60" w:line="276" w:lineRule="auto"/>
    </w:pPr>
    <w:rPr>
      <w:rFonts w:eastAsia="Times New Roman"/>
      <w:color w:val="FFFFFF"/>
      <w:szCs w:val="24"/>
      <w:lang w:eastAsia="en-AU"/>
    </w:rPr>
  </w:style>
  <w:style w:type="character" w:styleId="UnresolvedMention">
    <w:name w:val="Unresolved Mention"/>
    <w:basedOn w:val="DefaultParagraphFont"/>
    <w:uiPriority w:val="99"/>
    <w:semiHidden/>
    <w:unhideWhenUsed/>
    <w:rsid w:val="005B7E6B"/>
    <w:rPr>
      <w:color w:val="808080"/>
      <w:shd w:val="clear" w:color="auto" w:fill="E6E6E6"/>
    </w:rPr>
  </w:style>
  <w:style w:type="character" w:styleId="FollowedHyperlink">
    <w:name w:val="FollowedHyperlink"/>
    <w:basedOn w:val="DefaultParagraphFont"/>
    <w:uiPriority w:val="15"/>
    <w:semiHidden/>
    <w:unhideWhenUsed/>
    <w:rsid w:val="006B3962"/>
    <w:rPr>
      <w:color w:val="800080" w:themeColor="followedHyperlink"/>
      <w:u w:val="single"/>
    </w:rPr>
  </w:style>
  <w:style w:type="character" w:customStyle="1" w:styleId="normaltextrun1">
    <w:name w:val="normaltextrun1"/>
    <w:basedOn w:val="DefaultParagraphFont"/>
    <w:rsid w:val="00AA74A3"/>
  </w:style>
  <w:style w:type="character" w:customStyle="1" w:styleId="contentcontrol">
    <w:name w:val="contentcontrol"/>
    <w:basedOn w:val="DefaultParagraphFont"/>
    <w:rsid w:val="00AA74A3"/>
  </w:style>
  <w:style w:type="paragraph" w:styleId="NormalWeb">
    <w:name w:val="Normal (Web)"/>
    <w:basedOn w:val="Normal"/>
    <w:uiPriority w:val="99"/>
    <w:semiHidden/>
    <w:unhideWhenUsed/>
    <w:rsid w:val="00AF1FD1"/>
    <w:pPr>
      <w:spacing w:before="100" w:beforeAutospacing="1" w:after="100" w:afterAutospacing="1"/>
    </w:pPr>
    <w:rPr>
      <w:rFonts w:ascii="Times New Roman" w:eastAsia="Times New Roman" w:hAnsi="Times New Roman"/>
      <w:sz w:val="24"/>
      <w:szCs w:val="24"/>
      <w:lang w:eastAsia="en-AU"/>
    </w:rPr>
  </w:style>
  <w:style w:type="character" w:customStyle="1" w:styleId="acopre1">
    <w:name w:val="acopre1"/>
    <w:basedOn w:val="DefaultParagraphFont"/>
    <w:rsid w:val="008C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3531">
      <w:bodyDiv w:val="1"/>
      <w:marLeft w:val="0"/>
      <w:marRight w:val="0"/>
      <w:marTop w:val="0"/>
      <w:marBottom w:val="0"/>
      <w:divBdr>
        <w:top w:val="none" w:sz="0" w:space="0" w:color="auto"/>
        <w:left w:val="none" w:sz="0" w:space="0" w:color="auto"/>
        <w:bottom w:val="none" w:sz="0" w:space="0" w:color="auto"/>
        <w:right w:val="none" w:sz="0" w:space="0" w:color="auto"/>
      </w:divBdr>
    </w:div>
    <w:div w:id="343754434">
      <w:bodyDiv w:val="1"/>
      <w:marLeft w:val="0"/>
      <w:marRight w:val="0"/>
      <w:marTop w:val="0"/>
      <w:marBottom w:val="0"/>
      <w:divBdr>
        <w:top w:val="none" w:sz="0" w:space="0" w:color="auto"/>
        <w:left w:val="none" w:sz="0" w:space="0" w:color="auto"/>
        <w:bottom w:val="none" w:sz="0" w:space="0" w:color="auto"/>
        <w:right w:val="none" w:sz="0" w:space="0" w:color="auto"/>
      </w:divBdr>
    </w:div>
    <w:div w:id="412817644">
      <w:bodyDiv w:val="1"/>
      <w:marLeft w:val="0"/>
      <w:marRight w:val="0"/>
      <w:marTop w:val="0"/>
      <w:marBottom w:val="0"/>
      <w:divBdr>
        <w:top w:val="none" w:sz="0" w:space="0" w:color="auto"/>
        <w:left w:val="none" w:sz="0" w:space="0" w:color="auto"/>
        <w:bottom w:val="none" w:sz="0" w:space="0" w:color="auto"/>
        <w:right w:val="none" w:sz="0" w:space="0" w:color="auto"/>
      </w:divBdr>
    </w:div>
    <w:div w:id="504515513">
      <w:bodyDiv w:val="1"/>
      <w:marLeft w:val="0"/>
      <w:marRight w:val="0"/>
      <w:marTop w:val="0"/>
      <w:marBottom w:val="0"/>
      <w:divBdr>
        <w:top w:val="none" w:sz="0" w:space="0" w:color="auto"/>
        <w:left w:val="none" w:sz="0" w:space="0" w:color="auto"/>
        <w:bottom w:val="none" w:sz="0" w:space="0" w:color="auto"/>
        <w:right w:val="none" w:sz="0" w:space="0" w:color="auto"/>
      </w:divBdr>
    </w:div>
    <w:div w:id="614210324">
      <w:bodyDiv w:val="1"/>
      <w:marLeft w:val="0"/>
      <w:marRight w:val="0"/>
      <w:marTop w:val="0"/>
      <w:marBottom w:val="0"/>
      <w:divBdr>
        <w:top w:val="none" w:sz="0" w:space="0" w:color="auto"/>
        <w:left w:val="none" w:sz="0" w:space="0" w:color="auto"/>
        <w:bottom w:val="none" w:sz="0" w:space="0" w:color="auto"/>
        <w:right w:val="none" w:sz="0" w:space="0" w:color="auto"/>
      </w:divBdr>
      <w:divsChild>
        <w:div w:id="1248417302">
          <w:marLeft w:val="0"/>
          <w:marRight w:val="0"/>
          <w:marTop w:val="0"/>
          <w:marBottom w:val="0"/>
          <w:divBdr>
            <w:top w:val="none" w:sz="0" w:space="0" w:color="auto"/>
            <w:left w:val="none" w:sz="0" w:space="0" w:color="auto"/>
            <w:bottom w:val="none" w:sz="0" w:space="0" w:color="auto"/>
            <w:right w:val="none" w:sz="0" w:space="0" w:color="auto"/>
          </w:divBdr>
          <w:divsChild>
            <w:div w:id="429200150">
              <w:marLeft w:val="0"/>
              <w:marRight w:val="0"/>
              <w:marTop w:val="0"/>
              <w:marBottom w:val="0"/>
              <w:divBdr>
                <w:top w:val="none" w:sz="0" w:space="0" w:color="auto"/>
                <w:left w:val="none" w:sz="0" w:space="0" w:color="auto"/>
                <w:bottom w:val="none" w:sz="0" w:space="0" w:color="auto"/>
                <w:right w:val="none" w:sz="0" w:space="0" w:color="auto"/>
              </w:divBdr>
              <w:divsChild>
                <w:div w:id="1235238053">
                  <w:marLeft w:val="0"/>
                  <w:marRight w:val="0"/>
                  <w:marTop w:val="0"/>
                  <w:marBottom w:val="0"/>
                  <w:divBdr>
                    <w:top w:val="none" w:sz="0" w:space="0" w:color="auto"/>
                    <w:left w:val="none" w:sz="0" w:space="0" w:color="auto"/>
                    <w:bottom w:val="none" w:sz="0" w:space="0" w:color="auto"/>
                    <w:right w:val="none" w:sz="0" w:space="0" w:color="auto"/>
                  </w:divBdr>
                  <w:divsChild>
                    <w:div w:id="1819027377">
                      <w:marLeft w:val="0"/>
                      <w:marRight w:val="0"/>
                      <w:marTop w:val="0"/>
                      <w:marBottom w:val="0"/>
                      <w:divBdr>
                        <w:top w:val="none" w:sz="0" w:space="0" w:color="auto"/>
                        <w:left w:val="none" w:sz="0" w:space="0" w:color="auto"/>
                        <w:bottom w:val="none" w:sz="0" w:space="0" w:color="auto"/>
                        <w:right w:val="none" w:sz="0" w:space="0" w:color="auto"/>
                      </w:divBdr>
                      <w:divsChild>
                        <w:div w:id="8642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87003">
      <w:bodyDiv w:val="1"/>
      <w:marLeft w:val="0"/>
      <w:marRight w:val="0"/>
      <w:marTop w:val="0"/>
      <w:marBottom w:val="0"/>
      <w:divBdr>
        <w:top w:val="none" w:sz="0" w:space="0" w:color="auto"/>
        <w:left w:val="none" w:sz="0" w:space="0" w:color="auto"/>
        <w:bottom w:val="none" w:sz="0" w:space="0" w:color="auto"/>
        <w:right w:val="none" w:sz="0" w:space="0" w:color="auto"/>
      </w:divBdr>
    </w:div>
    <w:div w:id="725909332">
      <w:bodyDiv w:val="1"/>
      <w:marLeft w:val="0"/>
      <w:marRight w:val="0"/>
      <w:marTop w:val="0"/>
      <w:marBottom w:val="0"/>
      <w:divBdr>
        <w:top w:val="none" w:sz="0" w:space="0" w:color="auto"/>
        <w:left w:val="none" w:sz="0" w:space="0" w:color="auto"/>
        <w:bottom w:val="none" w:sz="0" w:space="0" w:color="auto"/>
        <w:right w:val="none" w:sz="0" w:space="0" w:color="auto"/>
      </w:divBdr>
    </w:div>
    <w:div w:id="883980043">
      <w:bodyDiv w:val="1"/>
      <w:marLeft w:val="0"/>
      <w:marRight w:val="0"/>
      <w:marTop w:val="0"/>
      <w:marBottom w:val="0"/>
      <w:divBdr>
        <w:top w:val="none" w:sz="0" w:space="0" w:color="auto"/>
        <w:left w:val="none" w:sz="0" w:space="0" w:color="auto"/>
        <w:bottom w:val="none" w:sz="0" w:space="0" w:color="auto"/>
        <w:right w:val="none" w:sz="0" w:space="0" w:color="auto"/>
      </w:divBdr>
    </w:div>
    <w:div w:id="1008748709">
      <w:bodyDiv w:val="1"/>
      <w:marLeft w:val="0"/>
      <w:marRight w:val="0"/>
      <w:marTop w:val="0"/>
      <w:marBottom w:val="0"/>
      <w:divBdr>
        <w:top w:val="none" w:sz="0" w:space="0" w:color="auto"/>
        <w:left w:val="none" w:sz="0" w:space="0" w:color="auto"/>
        <w:bottom w:val="none" w:sz="0" w:space="0" w:color="auto"/>
        <w:right w:val="none" w:sz="0" w:space="0" w:color="auto"/>
      </w:divBdr>
    </w:div>
    <w:div w:id="1232544766">
      <w:bodyDiv w:val="1"/>
      <w:marLeft w:val="0"/>
      <w:marRight w:val="0"/>
      <w:marTop w:val="0"/>
      <w:marBottom w:val="0"/>
      <w:divBdr>
        <w:top w:val="none" w:sz="0" w:space="0" w:color="auto"/>
        <w:left w:val="none" w:sz="0" w:space="0" w:color="auto"/>
        <w:bottom w:val="none" w:sz="0" w:space="0" w:color="auto"/>
        <w:right w:val="none" w:sz="0" w:space="0" w:color="auto"/>
      </w:divBdr>
    </w:div>
    <w:div w:id="1544518406">
      <w:bodyDiv w:val="1"/>
      <w:marLeft w:val="0"/>
      <w:marRight w:val="0"/>
      <w:marTop w:val="0"/>
      <w:marBottom w:val="0"/>
      <w:divBdr>
        <w:top w:val="none" w:sz="0" w:space="0" w:color="auto"/>
        <w:left w:val="none" w:sz="0" w:space="0" w:color="auto"/>
        <w:bottom w:val="none" w:sz="0" w:space="0" w:color="auto"/>
        <w:right w:val="none" w:sz="0" w:space="0" w:color="auto"/>
      </w:divBdr>
    </w:div>
    <w:div w:id="1547645912">
      <w:bodyDiv w:val="1"/>
      <w:marLeft w:val="0"/>
      <w:marRight w:val="0"/>
      <w:marTop w:val="0"/>
      <w:marBottom w:val="0"/>
      <w:divBdr>
        <w:top w:val="none" w:sz="0" w:space="0" w:color="auto"/>
        <w:left w:val="none" w:sz="0" w:space="0" w:color="auto"/>
        <w:bottom w:val="none" w:sz="0" w:space="0" w:color="auto"/>
        <w:right w:val="none" w:sz="0" w:space="0" w:color="auto"/>
      </w:divBdr>
    </w:div>
    <w:div w:id="1600061605">
      <w:bodyDiv w:val="1"/>
      <w:marLeft w:val="0"/>
      <w:marRight w:val="0"/>
      <w:marTop w:val="0"/>
      <w:marBottom w:val="0"/>
      <w:divBdr>
        <w:top w:val="none" w:sz="0" w:space="0" w:color="auto"/>
        <w:left w:val="none" w:sz="0" w:space="0" w:color="auto"/>
        <w:bottom w:val="none" w:sz="0" w:space="0" w:color="auto"/>
        <w:right w:val="none" w:sz="0" w:space="0" w:color="auto"/>
      </w:divBdr>
    </w:div>
    <w:div w:id="1776486927">
      <w:bodyDiv w:val="1"/>
      <w:marLeft w:val="0"/>
      <w:marRight w:val="0"/>
      <w:marTop w:val="0"/>
      <w:marBottom w:val="0"/>
      <w:divBdr>
        <w:top w:val="none" w:sz="0" w:space="0" w:color="auto"/>
        <w:left w:val="none" w:sz="0" w:space="0" w:color="auto"/>
        <w:bottom w:val="none" w:sz="0" w:space="0" w:color="auto"/>
        <w:right w:val="none" w:sz="0" w:space="0" w:color="auto"/>
      </w:divBdr>
    </w:div>
    <w:div w:id="1863200584">
      <w:bodyDiv w:val="1"/>
      <w:marLeft w:val="0"/>
      <w:marRight w:val="0"/>
      <w:marTop w:val="0"/>
      <w:marBottom w:val="0"/>
      <w:divBdr>
        <w:top w:val="none" w:sz="0" w:space="0" w:color="auto"/>
        <w:left w:val="none" w:sz="0" w:space="0" w:color="auto"/>
        <w:bottom w:val="none" w:sz="0" w:space="0" w:color="auto"/>
        <w:right w:val="none" w:sz="0" w:space="0" w:color="auto"/>
      </w:divBdr>
    </w:div>
    <w:div w:id="2052684257">
      <w:bodyDiv w:val="1"/>
      <w:marLeft w:val="0"/>
      <w:marRight w:val="0"/>
      <w:marTop w:val="0"/>
      <w:marBottom w:val="0"/>
      <w:divBdr>
        <w:top w:val="none" w:sz="0" w:space="0" w:color="auto"/>
        <w:left w:val="none" w:sz="0" w:space="0" w:color="auto"/>
        <w:bottom w:val="none" w:sz="0" w:space="0" w:color="auto"/>
        <w:right w:val="none" w:sz="0" w:space="0" w:color="auto"/>
      </w:divBdr>
    </w:div>
    <w:div w:id="2088378628">
      <w:bodyDiv w:val="1"/>
      <w:marLeft w:val="0"/>
      <w:marRight w:val="0"/>
      <w:marTop w:val="0"/>
      <w:marBottom w:val="0"/>
      <w:divBdr>
        <w:top w:val="none" w:sz="0" w:space="0" w:color="auto"/>
        <w:left w:val="none" w:sz="0" w:space="0" w:color="auto"/>
        <w:bottom w:val="none" w:sz="0" w:space="0" w:color="auto"/>
        <w:right w:val="none" w:sz="0" w:space="0" w:color="auto"/>
      </w:divBdr>
    </w:div>
    <w:div w:id="20907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gov.qld.gov.au/our-values" TargetMode="External"/><Relationship Id="rId13" Type="http://schemas.openxmlformats.org/officeDocument/2006/relationships/image" Target="media/image1.png"/><Relationship Id="rId18" Type="http://schemas.openxmlformats.org/officeDocument/2006/relationships/hyperlink" Target="https://qheps.health.qld.gov.au/smoke-free/quitsmokin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qheps.health.qld.gov.au/__data/assets/pdf_file/0035/2801978/strategic-plan.pdf" TargetMode="External"/><Relationship Id="rId17" Type="http://schemas.openxmlformats.org/officeDocument/2006/relationships/hyperlink" Target="https://www.legislation.qld.gov.au/legisltn/current/w/workerscompa03.pdf" TargetMode="External"/><Relationship Id="rId2" Type="http://schemas.openxmlformats.org/officeDocument/2006/relationships/numbering" Target="numbering.xml"/><Relationship Id="rId16" Type="http://schemas.openxmlformats.org/officeDocument/2006/relationships/hyperlink" Target="https://www.qld.gov.au/gov/documents/policy/lobbyist-disclosu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rtjobs.qld.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ownsville.health.qld.gov.au/about-us/health-equity/" TargetMode="External"/><Relationship Id="rId23" Type="http://schemas.openxmlformats.org/officeDocument/2006/relationships/fontTable" Target="fontTable.xml"/><Relationship Id="rId10" Type="http://schemas.openxmlformats.org/officeDocument/2006/relationships/hyperlink" Target="https://www.legislation.qld.gov.au/LEGISLTN/CURRENT/W/WorkHSA11.pdf"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safetyandquality.gov.au/" TargetMode="External"/><Relationship Id="rId14" Type="http://schemas.openxmlformats.org/officeDocument/2006/relationships/hyperlink" Target="https://www.townsville.health.qld.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monAL\AppData\Local\Temp\Temp3_Templates%20Download.zip\18-0212%20THHS%20Template%20set\Report%20Template%202.dotx" TargetMode="External"/></Relationships>
</file>

<file path=word/theme/theme1.xml><?xml version="1.0" encoding="utf-8"?>
<a:theme xmlns:a="http://schemas.openxmlformats.org/drawingml/2006/main" name="Office Theme">
  <a:themeElements>
    <a:clrScheme name="THHS Style Guide">
      <a:dk1>
        <a:sysClr val="windowText" lastClr="000000"/>
      </a:dk1>
      <a:lt1>
        <a:sysClr val="window" lastClr="FFFFFF"/>
      </a:lt1>
      <a:dk2>
        <a:srgbClr val="003591"/>
      </a:dk2>
      <a:lt2>
        <a:srgbClr val="00A1DE"/>
      </a:lt2>
      <a:accent1>
        <a:srgbClr val="B6BF00"/>
      </a:accent1>
      <a:accent2>
        <a:srgbClr val="007A4D"/>
      </a:accent2>
      <a:accent3>
        <a:srgbClr val="EBB700"/>
      </a:accent3>
      <a:accent4>
        <a:srgbClr val="C54C00"/>
      </a:accent4>
      <a:accent5>
        <a:srgbClr val="D2C295"/>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3A82-8EEF-46FA-BB65-D9590E92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2</Template>
  <TotalTime>64</TotalTime>
  <Pages>7</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Role Description  | Townsville HHS | Employment Services</vt:lpstr>
    </vt:vector>
  </TitlesOfParts>
  <Company>Townsville Hospital and Health Service</Company>
  <LinksUpToDate>false</LinksUpToDate>
  <CharactersWithSpaces>22746</CharactersWithSpaces>
  <SharedDoc>false</SharedDoc>
  <HLinks>
    <vt:vector size="54" baseType="variant">
      <vt:variant>
        <vt:i4>1900598</vt:i4>
      </vt:variant>
      <vt:variant>
        <vt:i4>59</vt:i4>
      </vt:variant>
      <vt:variant>
        <vt:i4>0</vt:i4>
      </vt:variant>
      <vt:variant>
        <vt:i4>5</vt:i4>
      </vt:variant>
      <vt:variant>
        <vt:lpwstr/>
      </vt:variant>
      <vt:variant>
        <vt:lpwstr>_Toc505860029</vt:lpwstr>
      </vt:variant>
      <vt:variant>
        <vt:i4>1900598</vt:i4>
      </vt:variant>
      <vt:variant>
        <vt:i4>53</vt:i4>
      </vt:variant>
      <vt:variant>
        <vt:i4>0</vt:i4>
      </vt:variant>
      <vt:variant>
        <vt:i4>5</vt:i4>
      </vt:variant>
      <vt:variant>
        <vt:lpwstr/>
      </vt:variant>
      <vt:variant>
        <vt:lpwstr>_Toc505860028</vt:lpwstr>
      </vt:variant>
      <vt:variant>
        <vt:i4>1900598</vt:i4>
      </vt:variant>
      <vt:variant>
        <vt:i4>47</vt:i4>
      </vt:variant>
      <vt:variant>
        <vt:i4>0</vt:i4>
      </vt:variant>
      <vt:variant>
        <vt:i4>5</vt:i4>
      </vt:variant>
      <vt:variant>
        <vt:lpwstr/>
      </vt:variant>
      <vt:variant>
        <vt:lpwstr>_Toc505860027</vt:lpwstr>
      </vt:variant>
      <vt:variant>
        <vt:i4>1900598</vt:i4>
      </vt:variant>
      <vt:variant>
        <vt:i4>41</vt:i4>
      </vt:variant>
      <vt:variant>
        <vt:i4>0</vt:i4>
      </vt:variant>
      <vt:variant>
        <vt:i4>5</vt:i4>
      </vt:variant>
      <vt:variant>
        <vt:lpwstr/>
      </vt:variant>
      <vt:variant>
        <vt:lpwstr>_Toc505860026</vt:lpwstr>
      </vt:variant>
      <vt:variant>
        <vt:i4>1900598</vt:i4>
      </vt:variant>
      <vt:variant>
        <vt:i4>35</vt:i4>
      </vt:variant>
      <vt:variant>
        <vt:i4>0</vt:i4>
      </vt:variant>
      <vt:variant>
        <vt:i4>5</vt:i4>
      </vt:variant>
      <vt:variant>
        <vt:lpwstr/>
      </vt:variant>
      <vt:variant>
        <vt:lpwstr>_Toc505860025</vt:lpwstr>
      </vt:variant>
      <vt:variant>
        <vt:i4>1900598</vt:i4>
      </vt:variant>
      <vt:variant>
        <vt:i4>29</vt:i4>
      </vt:variant>
      <vt:variant>
        <vt:i4>0</vt:i4>
      </vt:variant>
      <vt:variant>
        <vt:i4>5</vt:i4>
      </vt:variant>
      <vt:variant>
        <vt:lpwstr/>
      </vt:variant>
      <vt:variant>
        <vt:lpwstr>_Toc505860024</vt:lpwstr>
      </vt:variant>
      <vt:variant>
        <vt:i4>1900598</vt:i4>
      </vt:variant>
      <vt:variant>
        <vt:i4>23</vt:i4>
      </vt:variant>
      <vt:variant>
        <vt:i4>0</vt:i4>
      </vt:variant>
      <vt:variant>
        <vt:i4>5</vt:i4>
      </vt:variant>
      <vt:variant>
        <vt:lpwstr/>
      </vt:variant>
      <vt:variant>
        <vt:lpwstr>_Toc505860023</vt:lpwstr>
      </vt:variant>
      <vt:variant>
        <vt:i4>1900598</vt:i4>
      </vt:variant>
      <vt:variant>
        <vt:i4>17</vt:i4>
      </vt:variant>
      <vt:variant>
        <vt:i4>0</vt:i4>
      </vt:variant>
      <vt:variant>
        <vt:i4>5</vt:i4>
      </vt:variant>
      <vt:variant>
        <vt:lpwstr/>
      </vt:variant>
      <vt:variant>
        <vt:lpwstr>_Toc505860022</vt:lpwstr>
      </vt:variant>
      <vt:variant>
        <vt:i4>1900598</vt:i4>
      </vt:variant>
      <vt:variant>
        <vt:i4>11</vt:i4>
      </vt:variant>
      <vt:variant>
        <vt:i4>0</vt:i4>
      </vt:variant>
      <vt:variant>
        <vt:i4>5</vt:i4>
      </vt:variant>
      <vt:variant>
        <vt:lpwstr/>
      </vt:variant>
      <vt:variant>
        <vt:lpwstr>_Toc505860021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 Townsville HHS | Employment Services</dc:title>
  <dc:subject>Role Description for position within the Townsville HHS</dc:subject>
  <dc:creator>Employment Services - Townsville HHS QH QG</dc:creator>
  <cp:keywords>townsville,role description,job description,responsibilities,role,job,template,THHS,Townsville HHS,HHS,hospital,position,position description,</cp:keywords>
  <dc:description>Role Description  | Townsville HHS | Employment Services</dc:description>
  <cp:lastModifiedBy>Jacinta Mairu</cp:lastModifiedBy>
  <cp:revision>8</cp:revision>
  <cp:lastPrinted>2018-01-31T06:39:00Z</cp:lastPrinted>
  <dcterms:created xsi:type="dcterms:W3CDTF">2025-09-23T05:09:00Z</dcterms:created>
  <dcterms:modified xsi:type="dcterms:W3CDTF">2025-09-24T04:46:00Z</dcterms:modified>
  <cp:category>Role Description</cp:category>
</cp:coreProperties>
</file>